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val="0"/>
        <w:widowControl/>
        <w:spacing w:before="0" w:after="60" w:line="269" w:lineRule="auto"/>
      </w:pPr>
      <w:r>
        <w:rPr>
          <w:rFonts w:ascii="Noto Serif" w:hAnsi="Noto Serif" w:eastAsia="Noto Serif" w:cs="Noto Serif"/>
          <w:b/>
          <w:i w:val="0"/>
          <w:color w:val="966447"/>
          <w:sz w:val="28"/>
        </w:rPr>
        <w:t>cowork.art</w:t>
      </w:r>
    </w:p>
    <w:p>
      <w:pPr>
        <w:pStyle w:val="Title"/>
        <w:widowControl/>
        <w:pBdr>
          <w:bottom w:val="single" w:sz="14" w:space="4" w:color="966447"/>
        </w:pBdr>
      </w:pPr>
      <w:r>
        <w:t>Уведомление и формы отдельных согласий</w:t>
      </w:r>
    </w:p>
    <w:p>
      <w:pPr>
        <w:pStyle w:val="Subtitle"/>
        <w:widowControl/>
      </w:pPr>
      <w:r>
        <w:t>обработка данных, IP-телефония и запись звонков, технические сообщения, реклама, cookie, ИИ и публикация материалов</w:t>
      </w:r>
    </w:p>
    <w:tbl>
      <w:tblPr>
        <w:tblW w:type="auto" w:w="0"/>
        <w:jc w:val="center"/>
        <w:tblLook w:firstColumn="1" w:firstRow="1" w:lastColumn="0" w:lastRow="0" w:noHBand="0" w:noVBand="1" w:val="04A0"/>
        <w:tblLayout w:type="fixed"/>
      </w:tblPr>
      <w:tblGrid>
        <w:gridCol w:w="9866"/>
      </w:tblGrid>
      <w:tr>
        <w:trPr>
          <w:tblHeader w:val="true"/>
          <w:cantSplit/>
        </w:trPr>
        <w:tc>
          <w:tcPr>
            <w:tcW w:type="dxa" w:w="9866"/>
            <w:shd w:fill="F7F2EC"/>
            <w:tcMar>
              <w:top w:w="140" w:type="dxa"/>
              <w:start w:w="180" w:type="dxa"/>
              <w:bottom w:w="140" w:type="dxa"/>
              <w:end w:w="180" w:type="dxa"/>
            </w:tcMar>
            <w:tcBorders>
              <w:bottom w:val="single" w:sz="12" w:color="E8DDD3"/>
            </w:tcBorders>
          </w:tcPr>
          <w:p>
            <w:r>
              <w:rPr>
                <w:rFonts w:ascii="Noto Sans" w:hAnsi="Noto Sans" w:eastAsia="Noto Sans" w:cs="Noto Sans"/>
                <w:b/>
                <w:i w:val="0"/>
                <w:color w:val="966447"/>
                <w:sz w:val="18"/>
              </w:rPr>
              <w:t>Оператор / Исполнитель</w:t>
            </w:r>
          </w:p>
          <w:p>
            <w:pPr>
              <w:keepNext w:val="0"/>
              <w:keepLines w:val="0"/>
              <w:spacing w:before="0" w:after="0" w:line="252" w:lineRule="auto"/>
            </w:pPr>
            <w:r>
              <w:rPr>
                <w:rFonts w:ascii="Noto Sans" w:hAnsi="Noto Sans" w:eastAsia="Noto Sans" w:cs="Noto Sans"/>
                <w:b w:val="0"/>
                <w:i w:val="0"/>
                <w:sz w:val="18"/>
              </w:rPr>
              <w:t>Общество с ограниченной ответственностью «Студия Аллы Ромазановой»</w:t>
            </w:r>
          </w:p>
          <w:p>
            <w:pPr>
              <w:keepNext w:val="0"/>
              <w:keepLines w:val="0"/>
              <w:spacing w:before="0" w:after="0" w:line="252" w:lineRule="auto"/>
            </w:pPr>
            <w:r>
              <w:rPr>
                <w:rFonts w:ascii="Noto Sans" w:hAnsi="Noto Sans" w:eastAsia="Noto Sans" w:cs="Noto Sans"/>
                <w:b w:val="0"/>
                <w:i w:val="0"/>
                <w:sz w:val="18"/>
              </w:rPr>
              <w:t>УНП 192651036</w:t>
            </w:r>
          </w:p>
          <w:p>
            <w:pPr>
              <w:keepNext w:val="0"/>
              <w:keepLines w:val="0"/>
              <w:spacing w:before="0" w:after="0" w:line="252" w:lineRule="auto"/>
            </w:pPr>
            <w:r>
              <w:rPr>
                <w:rFonts w:ascii="Noto Sans" w:hAnsi="Noto Sans" w:eastAsia="Noto Sans" w:cs="Noto Sans"/>
                <w:b w:val="0"/>
                <w:i w:val="0"/>
                <w:sz w:val="18"/>
              </w:rPr>
              <w:t>220034, Республика Беларусь, г. Минск, ул. Захарова, д. 29А, помещение 74</w:t>
            </w:r>
          </w:p>
          <w:p>
            <w:pPr>
              <w:keepNext w:val="0"/>
              <w:keepLines w:val="0"/>
              <w:spacing w:before="0" w:after="0" w:line="252" w:lineRule="auto"/>
            </w:pPr>
            <w:r>
              <w:rPr>
                <w:rFonts w:ascii="Noto Sans" w:hAnsi="Noto Sans" w:eastAsia="Noto Sans" w:cs="Noto Sans"/>
                <w:b w:val="0"/>
                <w:i w:val="0"/>
                <w:sz w:val="18"/>
              </w:rPr>
              <w:t>+375 (44) 502-38-77  ·  mail@cowork.art</w:t>
            </w:r>
          </w:p>
        </w:tc>
      </w:tr>
    </w:tbl>
    <w:p>
      <w:pPr>
        <w:keepNext w:val="0"/>
        <w:keepLines w:val="0"/>
        <w:widowControl/>
        <w:spacing w:before="140" w:after="20" w:line="269" w:lineRule="auto"/>
      </w:pPr>
      <w:r>
        <w:t>Редакция 4.0 от 15 июля 2026 г.</w:t>
      </w:r>
    </w:p>
    <w:p>
      <w:pPr>
        <w:keepNext w:val="0"/>
        <w:keepLines w:val="0"/>
        <w:widowControl/>
        <w:spacing w:before="0" w:after="40" w:line="269" w:lineRule="auto"/>
      </w:pPr>
      <w:r>
        <w:rPr>
          <w:rFonts w:ascii="Noto Sans" w:hAnsi="Noto Sans" w:eastAsia="Noto Sans" w:cs="Noto Sans"/>
          <w:b w:val="0"/>
          <w:i w:val="0"/>
          <w:color w:val="6F6A66"/>
          <w:sz w:val="17"/>
        </w:rPr>
        <w:t>Действует с момента размещения на сайте cowork.art и применяется к заказам, подтвержденным после размещения.</w:t>
      </w:r>
    </w:p>
    <w:p>
      <w:pPr>
        <w:keepNext w:val="0"/>
        <w:keepLines w:val="0"/>
        <w:widowControl/>
        <w:spacing w:before="160" w:after="80" w:line="269" w:lineRule="auto"/>
      </w:pPr>
    </w:p>
    <w:p>
      <w:pPr>
        <w:widowControl/>
      </w:pPr>
      <w:r/>
    </w:p>
    <w:p>
      <w:pPr>
        <w:pStyle w:val="Heading1"/>
        <w:widowControl/>
      </w:pPr>
      <w:r>
        <w:t>Содержание</w:t>
      </w:r>
    </w:p>
    <w:tbl>
      <w:tblPr>
        <w:tblW w:type="auto" w:w="0"/>
        <w:jc w:val="center"/>
        <w:tblLayout w:type="fixed"/>
        <w:tblLook w:firstColumn="1" w:firstRow="1" w:lastColumn="0" w:lastRow="0" w:noHBand="0" w:noVBand="1" w:val="04A0"/>
      </w:tblPr>
      <w:tblGrid>
        <w:gridCol w:w="4933"/>
        <w:gridCol w:w="4933"/>
      </w:tblGrid>
      <w:tr>
        <w:trPr>
          <w:cantSplit/>
          <w:tblHeader w:val="true"/>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Оператор и назначение документа</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2</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Обработка, необходимая для договора и работы сервиса</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3</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Обязательные подтверждения при оформлении заказа</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4</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Технические сообщения без рекламного согласия</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5</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Общие правила добровольных согласий</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6</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Отдельные согласия на рекламные сообщения</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7</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Telegram для технических уведомлений</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8</w:t>
            </w:r>
          </w:p>
        </w:tc>
        <w:tc>
          <w:tcPr>
            <w:tcW w:type="dxa" w:w="8505"/>
            <w:tcMar>
              <w:top w:w="80" w:type="dxa"/>
              <w:start w:w="100" w:type="dxa"/>
              <w:bottom w:w="80" w:type="dxa"/>
              <w:end w:w="100" w:type="dxa"/>
            </w:tcMar>
            <w:tcBorders>
              <w:bottom w:val="single" w:sz="5" w:color="D8CBC1"/>
            </w:tcBorders>
          </w:tcPr>
          <w:p>
            <w:r>
              <w:t>Входящие обращения, IP-телефония и чаты</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9</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Файлы cookie и локальное хранилище</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10</w:t>
            </w:r>
          </w:p>
        </w:tc>
        <w:tc>
          <w:tcPr>
            <w:tcW w:type="dxa" w:w="8505"/>
            <w:tcMar>
              <w:top w:w="80" w:type="dxa"/>
              <w:start w:w="100" w:type="dxa"/>
              <w:bottom w:w="80" w:type="dxa"/>
              <w:end w:w="100" w:type="dxa"/>
            </w:tcMar>
            <w:tcBorders>
              <w:bottom w:val="single" w:sz="5" w:color="D8CBC1"/>
            </w:tcBorders>
          </w:tcPr>
          <w:p>
            <w:r>
              <w:t>Уведомление об автоматизированном ИИ-помощнике</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11</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Отзывы, фото-, аудио- и видеоматериалы</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12</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Отзыв согласия и реализация прав</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13</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Доказательство выбора и изменение форм</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14</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Реквизиты и контакты</w:t>
            </w:r>
          </w:p>
        </w:tc>
      </w:tr>
    </w:tbl>
    <w:p>
      <w:pPr>
        <w:widowControl/>
      </w:pPr>
      <w:r/>
    </w:p>
    <w:p>
      <w:pPr>
        <w:pStyle w:val="Heading1"/>
        <w:widowControl/>
      </w:pPr>
      <w:r>
        <w:t>1. Оператор и назначение документа</w:t>
      </w:r>
    </w:p>
    <w:p>
      <w:pPr>
        <w:keepNext w:val="0"/>
        <w:keepLines w:val="0"/>
        <w:widowControl/>
        <w:spacing w:before="0" w:after="68" w:line="269" w:lineRule="auto"/>
      </w:pPr>
      <w:r>
        <w:rPr>
          <w:rFonts w:ascii="Noto Sans" w:hAnsi="Noto Sans" w:eastAsia="Noto Sans" w:cs="Noto Sans"/>
          <w:b w:val="0"/>
          <w:i w:val="0"/>
          <w:sz w:val="18"/>
        </w:rPr>
        <w:t>1.1. Оператором персональных данных является Общество с ограниченной ответственностью «Студия Аллы Ромазановой», УНП 192651036, адрес: 220034, Республика Беларусь, г. Минск, ул. Захарова, д. 29А, помещение 74 (далее — «Оператор», «cowork.art»).</w:t>
      </w:r>
    </w:p>
    <w:p>
      <w:pPr>
        <w:keepNext w:val="0"/>
        <w:keepLines w:val="0"/>
        <w:widowControl/>
        <w:spacing w:before="0" w:after="68" w:line="269" w:lineRule="auto"/>
      </w:pPr>
      <w:r>
        <w:t>1.2. Настоящий документ объясняет обработку, необходимую для договора, содержит уведомления об IP-телефонии SipSim.by и автоматизированном ИИ-помощнике, а также самостоятельные формы согласий для рекламы, необязательных мессенджеров, cookie и публикации материалов.</w:t>
      </w:r>
    </w:p>
    <w:p>
      <w:pPr>
        <w:keepNext w:val="0"/>
        <w:keepLines w:val="0"/>
        <w:widowControl/>
        <w:spacing w:before="0" w:after="68" w:line="269" w:lineRule="auto"/>
      </w:pPr>
      <w:r>
        <w:rPr>
          <w:rFonts w:ascii="Noto Sans" w:hAnsi="Noto Sans" w:eastAsia="Noto Sans" w:cs="Noto Sans"/>
          <w:b w:val="0"/>
          <w:i w:val="0"/>
          <w:sz w:val="18"/>
        </w:rPr>
        <w:t>1.3. Документ применяется вместе с Публичной офертой, Правилами бронирования и пользования коворкингом, Правилами отмены, переноса и возврата и Политикой в отношении обработки персональных данных.</w:t>
      </w:r>
    </w:p>
    <w:p>
      <w:pPr>
        <w:keepNext w:val="0"/>
        <w:keepLines w:val="0"/>
        <w:widowControl/>
        <w:spacing w:before="0" w:after="68" w:line="269" w:lineRule="auto"/>
      </w:pPr>
      <w:r>
        <w:t>1.4. Оформление аккаунта, звонок, сообщение сотруднику или ИИ-помощнику, бронирование, оплата, посещение и согласие на запись конкретного разговора не означают согласия на рекламу, необязательные cookie либо публикацию материалов.</w:t>
      </w:r>
    </w:p>
    <w:p>
      <w:pPr>
        <w:keepNext w:val="0"/>
        <w:keepLines w:val="0"/>
        <w:widowControl/>
        <w:spacing w:before="0" w:after="68" w:line="269" w:lineRule="auto"/>
      </w:pPr>
      <w:r>
        <w:rPr>
          <w:rFonts w:ascii="Noto Sans" w:hAnsi="Noto Sans" w:eastAsia="Noto Sans" w:cs="Noto Sans"/>
          <w:b w:val="0"/>
          <w:i w:val="0"/>
          <w:sz w:val="18"/>
        </w:rPr>
        <w:t>1.5. Сервис предназначен для совершеннолетних профессиональных мастеров перманентного макияжа, визажистов и бровистов. Оператор не создает аккаунты для несовершеннолетних и не предлагает им приобретать бронирования или пакеты часов.</w:t>
      </w:r>
    </w:p>
    <w:tbl>
      <w:tblPr>
        <w:tblW w:type="auto" w:w="0"/>
        <w:jc w:val="center"/>
        <w:tblLook w:firstColumn="1" w:firstRow="1" w:lastColumn="0" w:lastRow="0" w:noHBand="0" w:noVBand="1" w:val="04A0"/>
        <w:tblLayout w:type="fixed"/>
      </w:tblPr>
      <w:tblGrid>
        <w:gridCol w:w="9866"/>
      </w:tblGrid>
      <w:tr>
        <w:trPr>
          <w:tblHeader w:val="true"/>
          <w:cantSplit/>
        </w:trPr>
        <w:tc>
          <w:tcPr>
            <w:tcW w:type="dxa" w:w="9866"/>
            <w:shd w:fill="F7F2EC"/>
            <w:tcMar>
              <w:top w:w="120" w:type="dxa"/>
              <w:start w:w="160" w:type="dxa"/>
              <w:bottom w:w="120" w:type="dxa"/>
              <w:end w:w="160" w:type="dxa"/>
            </w:tcMar>
            <w:tcBorders>
              <w:left w:val="single" w:sz="22" w:color="966447"/>
            </w:tcBorders>
          </w:tcPr>
          <w:p>
            <w:r>
              <w:t>Главный принцип</w:t>
              <w:br/>
              <w:t>Отказ от любого добровольного согласия не лишает пользователя возможности зарегистрироваться, забронировать и оплатить доступ, использовать пакет часов, получить технические уведомления, обратиться к администратору или задать справочный вопрос ИИ-помощнику. Для обработки инициативного запроса ИИ используется уведомление, а не рекламное согласие.</w:t>
            </w:r>
          </w:p>
        </w:tc>
      </w:tr>
    </w:tbl>
    <w:p>
      <w:pPr>
        <w:widowControl/>
        <w:spacing w:after="0"/>
      </w:pPr>
    </w:p>
    <w:p>
      <w:pPr>
        <w:pStyle w:val="Heading1"/>
        <w:widowControl/>
      </w:pPr>
      <w:r>
        <w:t>2. Обработка, необходимая для договора и работы сервиса</w:t>
      </w:r>
    </w:p>
    <w:p>
      <w:pPr>
        <w:keepNext w:val="0"/>
        <w:keepLines w:val="0"/>
        <w:widowControl/>
        <w:spacing w:before="0" w:after="68" w:line="269" w:lineRule="auto"/>
      </w:pPr>
      <w:r>
        <w:rPr>
          <w:rFonts w:ascii="Noto Sans" w:hAnsi="Noto Sans" w:eastAsia="Noto Sans"/>
          <w:b w:val="0"/>
          <w:i w:val="0"/>
        </w:rPr>
        <w:t>2.1. Для действий, объективно необходимых до заключения договора, для его исполнения, расчетов, безопасности, работы ИИ-помощника по инициативному запросу, бухгалтерского и налогового учета и разрешения споров, отдельная отметка «согласен на обработку персональных данных» не используется. Правовым основанием являются договор, действия по запросу субъекта до его заключения и иные основания, предусмотренные законодательством.</w:t>
      </w:r>
    </w:p>
    <w:p>
      <w:pPr>
        <w:keepNext w:val="0"/>
        <w:keepLines w:val="0"/>
        <w:widowControl/>
        <w:spacing w:before="0" w:after="68" w:line="269" w:lineRule="auto"/>
      </w:pPr>
      <w:r>
        <w:rPr>
          <w:rFonts w:ascii="Noto Sans" w:hAnsi="Noto Sans" w:eastAsia="Noto Sans" w:cs="Noto Sans"/>
          <w:b w:val="0"/>
          <w:i w:val="0"/>
          <w:sz w:val="18"/>
        </w:rPr>
        <w:t>2.2. Обязательные данные собираются в минимальном объеме. Имя либо профессиональный никнейм помогает идентифицировать бронирование; номер телефона используется для подтверждения и защиты аккаунта, срочных изменений и доступа; электронная почта — для подтверждений, договорных документов, кассовых документов в электронной форме, восстановления доступа и несрочной переписки.</w:t>
      </w:r>
    </w:p>
    <w:tbl>
      <w:tblPr>
        <w:tblStyle w:val="TableGrid"/>
        <w:tblW w:type="auto" w:w="0"/>
        <w:jc w:val="center"/>
        <w:tblLayout w:type="autofit"/>
        <w:tblLook w:firstColumn="1" w:firstRow="1" w:lastColumn="0" w:lastRow="0" w:noHBand="0" w:noVBand="1" w:val="04A0"/>
      </w:tblPr>
      <w:tblGrid>
        <w:gridCol w:w="2466"/>
        <w:gridCol w:w="2466"/>
        <w:gridCol w:w="2466"/>
        <w:gridCol w:w="2466"/>
      </w:tblGrid>
      <w:tr>
        <w:trPr>
          <w:tblHeader w:val="true"/>
          <w:cantSplit/>
          <w:cantSplit/>
          <w:tblHeader w:val="true"/>
          <w:tblHeader w:val="true"/>
        </w:trPr>
        <w:tc>
          <w:tcPr>
            <w:tcW w:type="dxa" w:w="2268"/>
            <w:shd w:fill="935F3D"/>
            <w:tcMar>
              <w:top w:w="90" w:type="dxa"/>
              <w:start w:w="110" w:type="dxa"/>
              <w:bottom w:w="90" w:type="dxa"/>
              <w:end w:w="110" w:type="dxa"/>
            </w:tcMar>
            <w:tcBorders>
              <w:top w:val="single" w:sz="6" w:color="4A2A1C"/>
              <w:left w:val="single" w:sz="6" w:color="4A2A1C"/>
              <w:bottom w:val="single" w:sz="6" w:color="4A2A1C"/>
              <w:right w:val="single" w:sz="6" w:color="4A2A1C"/>
            </w:tcBorders>
            <w:vAlign w:val="center"/>
          </w:tcPr>
          <w:p>
            <w:pPr>
              <w:keepNext w:val="0"/>
              <w:keepLines w:val="0"/>
              <w:spacing w:before="0" w:after="0" w:line="240" w:lineRule="auto"/>
            </w:pPr>
            <w:r>
              <w:rPr>
                <w:rFonts w:ascii="Aptos" w:hAnsi="Aptos" w:eastAsia="Noto Sans" w:cs="Noto Sans"/>
                <w:b/>
                <w:i w:val="0"/>
                <w:color w:val="FFFFFF"/>
                <w:sz w:val="15"/>
              </w:rPr>
              <w:t>Цель</w:t>
            </w:r>
          </w:p>
        </w:tc>
        <w:tc>
          <w:tcPr>
            <w:tcW w:type="dxa" w:w="2494"/>
            <w:shd w:fill="935F3D"/>
            <w:tcMar>
              <w:top w:w="90" w:type="dxa"/>
              <w:start w:w="110" w:type="dxa"/>
              <w:bottom w:w="90" w:type="dxa"/>
              <w:end w:w="110" w:type="dxa"/>
            </w:tcMar>
            <w:tcBorders>
              <w:top w:val="single" w:sz="6" w:color="4A2A1C"/>
              <w:left w:val="single" w:sz="6" w:color="4A2A1C"/>
              <w:bottom w:val="single" w:sz="6" w:color="4A2A1C"/>
              <w:right w:val="single" w:sz="6" w:color="4A2A1C"/>
            </w:tcBorders>
            <w:vAlign w:val="center"/>
          </w:tcPr>
          <w:p>
            <w:pPr>
              <w:keepNext w:val="0"/>
              <w:keepLines w:val="0"/>
              <w:spacing w:before="0" w:after="0" w:line="240" w:lineRule="auto"/>
            </w:pPr>
            <w:r>
              <w:rPr>
                <w:rFonts w:ascii="Aptos" w:hAnsi="Aptos" w:eastAsia="Noto Sans" w:cs="Noto Sans"/>
                <w:b/>
                <w:i w:val="0"/>
                <w:color w:val="FFFFFF"/>
                <w:sz w:val="15"/>
              </w:rPr>
              <w:t>Основные данные</w:t>
            </w:r>
          </w:p>
        </w:tc>
        <w:tc>
          <w:tcPr>
            <w:tcW w:type="dxa" w:w="2608"/>
            <w:shd w:fill="935F3D"/>
            <w:tcMar>
              <w:top w:w="90" w:type="dxa"/>
              <w:start w:w="110" w:type="dxa"/>
              <w:bottom w:w="90" w:type="dxa"/>
              <w:end w:w="110" w:type="dxa"/>
            </w:tcMar>
            <w:tcBorders>
              <w:top w:val="single" w:sz="6" w:color="4A2A1C"/>
              <w:left w:val="single" w:sz="6" w:color="4A2A1C"/>
              <w:bottom w:val="single" w:sz="6" w:color="4A2A1C"/>
              <w:right w:val="single" w:sz="6" w:color="4A2A1C"/>
            </w:tcBorders>
            <w:vAlign w:val="center"/>
          </w:tcPr>
          <w:p>
            <w:pPr>
              <w:keepNext w:val="0"/>
              <w:keepLines w:val="0"/>
              <w:spacing w:before="0" w:after="0" w:line="240" w:lineRule="auto"/>
            </w:pPr>
            <w:r>
              <w:rPr>
                <w:rFonts w:ascii="Aptos" w:hAnsi="Aptos" w:eastAsia="Noto Sans" w:cs="Noto Sans"/>
                <w:b/>
                <w:i w:val="0"/>
                <w:color w:val="FFFFFF"/>
                <w:sz w:val="15"/>
              </w:rPr>
              <w:t>Что выполняется</w:t>
            </w:r>
          </w:p>
        </w:tc>
        <w:tc>
          <w:tcPr>
            <w:tcW w:type="dxa" w:w="2268"/>
            <w:shd w:fill="935F3D"/>
            <w:tcMar>
              <w:top w:w="90" w:type="dxa"/>
              <w:start w:w="110" w:type="dxa"/>
              <w:bottom w:w="90" w:type="dxa"/>
              <w:end w:w="110" w:type="dxa"/>
            </w:tcMar>
            <w:tcBorders>
              <w:top w:val="single" w:sz="6" w:color="4A2A1C"/>
              <w:left w:val="single" w:sz="6" w:color="4A2A1C"/>
              <w:bottom w:val="single" w:sz="6" w:color="4A2A1C"/>
              <w:right w:val="single" w:sz="6" w:color="4A2A1C"/>
            </w:tcBorders>
            <w:vAlign w:val="center"/>
          </w:tcPr>
          <w:p>
            <w:pPr>
              <w:keepNext w:val="0"/>
              <w:keepLines w:val="0"/>
              <w:spacing w:before="0" w:after="0" w:line="240" w:lineRule="auto"/>
            </w:pPr>
            <w:r>
              <w:rPr>
                <w:rFonts w:ascii="Aptos" w:hAnsi="Aptos" w:eastAsia="Noto Sans" w:cs="Noto Sans"/>
                <w:b/>
                <w:i w:val="0"/>
                <w:color w:val="FFFFFF"/>
                <w:sz w:val="15"/>
              </w:rPr>
              <w:t>Основание и предел</w:t>
            </w:r>
          </w:p>
        </w:tc>
      </w:tr>
      <w:tr>
        <w:trPr>
          <w:cantSplit/>
          <w:cantSplit/>
        </w:trPr>
        <w:tc>
          <w:tcPr>
            <w:tcW w:type="dxa" w:w="2268"/>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Регистрация и защита аккаунта</w:t>
            </w:r>
          </w:p>
        </w:tc>
        <w:tc>
          <w:tcPr>
            <w:tcW w:type="dxa" w:w="2494"/>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имя или никнейм, телефон, email, идентификатор аккаунта, события входа</w:t>
            </w:r>
          </w:p>
        </w:tc>
        <w:tc>
          <w:tcPr>
            <w:tcW w:type="dxa" w:w="2608"/>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создание учетной записи, подтверждение контакта, восстановление доступа, предотвращение злоупотреблений</w:t>
            </w:r>
          </w:p>
        </w:tc>
        <w:tc>
          <w:tcPr>
            <w:tcW w:type="dxa" w:w="2268"/>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действия до заключения и исполнение договора; безопасность сервиса</w:t>
            </w:r>
          </w:p>
        </w:tc>
      </w:tr>
      <w:tr>
        <w:trPr>
          <w:cantSplit/>
          <w:cantSplit/>
        </w:trPr>
        <w:tc>
          <w:tcPr>
            <w:tcW w:type="dxa" w:w="2268"/>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Бронирование и доступ</w:t>
            </w:r>
          </w:p>
        </w:tc>
        <w:tc>
          <w:tcPr>
            <w:tcW w:type="dxa" w:w="2494"/>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даты, место, время, услуги, пакетный баланс, QR-код или номер брони, отметки входа и выхода</w:t>
            </w:r>
          </w:p>
        </w:tc>
        <w:tc>
          <w:tcPr>
            <w:tcW w:type="dxa" w:w="2608"/>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расчет, резервирование, подтверждение, допуск, учет фактического времени</w:t>
            </w:r>
          </w:p>
        </w:tc>
        <w:tc>
          <w:tcPr>
            <w:tcW w:type="dxa" w:w="2268"/>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исполнение договора и законные интересы безопасности; QR не является биометрическим идентификатором</w:t>
            </w:r>
          </w:p>
        </w:tc>
      </w:tr>
      <w:tr>
        <w:trPr>
          <w:cantSplit/>
          <w:cantSplit/>
        </w:trPr>
        <w:tc>
          <w:tcPr>
            <w:tcW w:type="dxa" w:w="2268"/>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Оплата и возврат</w:t>
            </w:r>
          </w:p>
        </w:tc>
        <w:tc>
          <w:tcPr>
            <w:tcW w:type="dxa" w:w="2494"/>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номер заказа, сумма, валюта, статус и идентификатор операции, ограниченные маскированные платежные сведения</w:t>
            </w:r>
          </w:p>
        </w:tc>
        <w:tc>
          <w:tcPr>
            <w:tcW w:type="dxa" w:w="2608"/>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сопоставление платежа, возврат, кассовый и бухгалтерский учет</w:t>
            </w:r>
          </w:p>
        </w:tc>
        <w:tc>
          <w:tcPr>
            <w:tcW w:type="dxa" w:w="2268"/>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исполнение договора и обязанности по законодательству; полный номер карты и CVV/CVC Оператор не получает</w:t>
            </w:r>
          </w:p>
        </w:tc>
      </w:tr>
      <w:tr>
        <w:trPr>
          <w:cantSplit/>
          <w:cantSplit/>
        </w:trPr>
        <w:tc>
          <w:tcPr>
            <w:tcW w:type="dxa" w:w="2268"/>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Обращения и претензии</w:t>
            </w:r>
          </w:p>
        </w:tc>
        <w:tc>
          <w:tcPr>
            <w:tcW w:type="dxa" w:w="2494"/>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контакты, текст обращения, материалы, история заказа, сведения об инциденте</w:t>
            </w:r>
          </w:p>
        </w:tc>
        <w:tc>
          <w:tcPr>
            <w:tcW w:type="dxa" w:w="2608"/>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ответ, проверка обстоятельств, урегулирование спора</w:t>
            </w:r>
          </w:p>
        </w:tc>
        <w:tc>
          <w:tcPr>
            <w:tcW w:type="dxa" w:w="2268"/>
            <w:shd w:fill="FAF8F5"/>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исполнение договора, защита прав и законных интересов сторон</w:t>
            </w:r>
          </w:p>
        </w:tc>
      </w:tr>
      <w:tr>
        <w:trPr>
          <w:cantSplit/>
          <w:cantSplit/>
        </w:trPr>
        <w:tc>
          <w:tcPr>
            <w:tcW w:type="dxa" w:w="2268"/>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Санитарная и имущественная безопасность</w:t>
            </w:r>
          </w:p>
        </w:tc>
        <w:tc>
          <w:tcPr>
            <w:tcW w:type="dxa" w:w="2494"/>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номер брони, участники, время, описание нарушения, повреждения либо аварийного контакта</w:t>
            </w:r>
          </w:p>
        </w:tc>
        <w:tc>
          <w:tcPr>
            <w:tcW w:type="dxa" w:w="2608"/>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локализация риска, актирование, производственный контроль, взыскание или защита от необоснованной претензии</w:t>
            </w:r>
          </w:p>
        </w:tc>
        <w:tc>
          <w:tcPr>
            <w:tcW w:type="dxa" w:w="2268"/>
            <w:shd w:fill="FBF7F1"/>
            <w:tcMar>
              <w:top w:w="90" w:type="dxa"/>
              <w:start w:w="110" w:type="dxa"/>
              <w:bottom w:w="90" w:type="dxa"/>
              <w:end w:w="11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Aptos" w:hAnsi="Aptos" w:eastAsia="Noto Sans" w:cs="Noto Sans"/>
                <w:b w:val="0"/>
                <w:i w:val="0"/>
                <w:sz w:val="15"/>
              </w:rPr>
              <w:t>обязанности по законодательству и законные интересы безопасности</w:t>
            </w:r>
          </w:p>
        </w:tc>
      </w:tr>
      <w:tr>
        <w:trPr>
          <w:cantSplit/>
        </w:trPr>
        <w:tc>
          <w:tcPr>
            <w:tcW w:type="dxa" w:w="2268"/>
            <w:vAlign w:val="center"/>
            <w:tcMar>
              <w:top w:w="90" w:type="dxa"/>
              <w:start w:w="110" w:type="dxa"/>
              <w:bottom w:w="90" w:type="dxa"/>
              <w:end w:w="110" w:type="dxa"/>
            </w:tcMar>
            <w:shd w:fill="FAF8F5"/>
            <w:tcBorders>
              <w:top w:val="single" w:sz="4" w:color="D8C8B9"/>
              <w:left w:val="single" w:sz="4" w:color="D8C8B9"/>
              <w:bottom w:val="single" w:sz="4" w:color="D8C8B9"/>
              <w:right w:val="single" w:sz="4" w:color="D8C8B9"/>
            </w:tcBorders>
          </w:tcPr>
          <w:p>
            <w:pPr>
              <w:spacing w:after="0" w:before="0"/>
            </w:pPr>
            <w:r>
              <w:rPr>
                <w:rFonts w:ascii="Aptos" w:hAnsi="Aptos" w:eastAsia="Noto Sans"/>
                <w:sz w:val="15"/>
              </w:rPr>
              <w:t>Автоматизированный справочный ответ</w:t>
            </w:r>
          </w:p>
        </w:tc>
        <w:tc>
          <w:tcPr>
            <w:tcW w:type="dxa" w:w="2494"/>
            <w:vAlign w:val="center"/>
            <w:tcMar>
              <w:top w:w="90" w:type="dxa"/>
              <w:start w:w="110" w:type="dxa"/>
              <w:bottom w:w="90" w:type="dxa"/>
              <w:end w:w="110" w:type="dxa"/>
            </w:tcMar>
            <w:shd w:fill="FAF8F5"/>
            <w:tcBorders>
              <w:top w:val="single" w:sz="4" w:color="D8C8B9"/>
              <w:left w:val="single" w:sz="4" w:color="D8C8B9"/>
              <w:bottom w:val="single" w:sz="4" w:color="D8C8B9"/>
              <w:right w:val="single" w:sz="4" w:color="D8C8B9"/>
            </w:tcBorders>
          </w:tcPr>
          <w:p>
            <w:pPr>
              <w:spacing w:after="0" w:before="0"/>
            </w:pPr>
            <w:r>
              <w:rPr>
                <w:rFonts w:ascii="Aptos" w:hAnsi="Aptos" w:eastAsia="Noto Sans"/>
                <w:sz w:val="15"/>
              </w:rPr>
              <w:t>текст сообщения, идентификатор сессии, технический контекст; данные заказа только после аутентификации и по запросу</w:t>
            </w:r>
          </w:p>
        </w:tc>
        <w:tc>
          <w:tcPr>
            <w:tcW w:type="dxa" w:w="2608"/>
            <w:vAlign w:val="center"/>
            <w:tcMar>
              <w:top w:w="90" w:type="dxa"/>
              <w:start w:w="110" w:type="dxa"/>
              <w:bottom w:w="90" w:type="dxa"/>
              <w:end w:w="110" w:type="dxa"/>
            </w:tcMar>
            <w:shd w:fill="FAF8F5"/>
            <w:tcBorders>
              <w:top w:val="single" w:sz="4" w:color="D8C8B9"/>
              <w:left w:val="single" w:sz="4" w:color="D8C8B9"/>
              <w:bottom w:val="single" w:sz="4" w:color="D8C8B9"/>
              <w:right w:val="single" w:sz="4" w:color="D8C8B9"/>
            </w:tcBorders>
          </w:tcPr>
          <w:p>
            <w:pPr>
              <w:spacing w:after="0" w:before="0"/>
            </w:pPr>
            <w:r>
              <w:rPr>
                <w:rFonts w:ascii="Aptos" w:hAnsi="Aptos" w:eastAsia="Noto Sans"/>
                <w:sz w:val="15"/>
              </w:rPr>
              <w:t>поиск информации, навигация, объяснение тарифов и подготовка черновика действий без юридически значимого решения</w:t>
            </w:r>
          </w:p>
        </w:tc>
        <w:tc>
          <w:tcPr>
            <w:tcW w:type="dxa" w:w="2268"/>
            <w:vAlign w:val="center"/>
            <w:tcMar>
              <w:top w:w="90" w:type="dxa"/>
              <w:start w:w="110" w:type="dxa"/>
              <w:bottom w:w="90" w:type="dxa"/>
              <w:end w:w="110" w:type="dxa"/>
            </w:tcMar>
            <w:shd w:fill="FAF8F5"/>
            <w:tcBorders>
              <w:top w:val="single" w:sz="4" w:color="D8C8B9"/>
              <w:left w:val="single" w:sz="4" w:color="D8C8B9"/>
              <w:bottom w:val="single" w:sz="4" w:color="D8C8B9"/>
              <w:right w:val="single" w:sz="4" w:color="D8C8B9"/>
            </w:tcBorders>
          </w:tcPr>
          <w:p>
            <w:pPr>
              <w:spacing w:after="0" w:before="0"/>
            </w:pPr>
            <w:r>
              <w:rPr>
                <w:rFonts w:ascii="Aptos" w:hAnsi="Aptos" w:eastAsia="Noto Sans"/>
                <w:sz w:val="15"/>
              </w:rPr>
              <w:t>действия до заключения и исполнение договора; работа сервиса; белорусское уполномоченное лицо, хранение в Республике Беларусь</w:t>
            </w:r>
          </w:p>
        </w:tc>
      </w:tr>
      <w:tr>
        <w:trPr>
          <w:cantSplit/>
        </w:trPr>
        <w:tc>
          <w:tcPr>
            <w:tcW w:type="dxa" w:w="2466"/>
            <w:vAlign w:val="center"/>
            <w:tcMar>
              <w:top w:w="90" w:type="dxa"/>
              <w:start w:w="110" w:type="dxa"/>
              <w:bottom w:w="90" w:type="dxa"/>
              <w:end w:w="110" w:type="dxa"/>
            </w:tcMar>
          </w:tcPr>
          <w:p>
            <w:pPr>
              <w:spacing w:after="0" w:before="0"/>
            </w:pPr>
            <w:r>
              <w:rPr>
                <w:rFonts w:ascii="Aptos" w:hAnsi="Aptos"/>
                <w:sz w:val="15"/>
              </w:rPr>
              <w:t>Обращение и IP-телефония</w:t>
            </w:r>
          </w:p>
        </w:tc>
        <w:tc>
          <w:tcPr>
            <w:tcW w:type="dxa" w:w="2466"/>
            <w:vAlign w:val="center"/>
            <w:tcMar>
              <w:top w:w="90" w:type="dxa"/>
              <w:start w:w="110" w:type="dxa"/>
              <w:bottom w:w="90" w:type="dxa"/>
              <w:end w:w="110" w:type="dxa"/>
            </w:tcMar>
          </w:tcPr>
          <w:p>
            <w:pPr>
              <w:spacing w:after="0" w:before="0"/>
            </w:pPr>
            <w:r>
              <w:rPr>
                <w:rFonts w:ascii="Aptos" w:hAnsi="Aptos"/>
                <w:sz w:val="15"/>
              </w:rPr>
              <w:t>номер, дата, время, направление, длительность, аудиозапись после уведомления, сотрудник, результат и связанный заказ</w:t>
            </w:r>
          </w:p>
        </w:tc>
        <w:tc>
          <w:tcPr>
            <w:tcW w:type="dxa" w:w="2466"/>
            <w:vAlign w:val="center"/>
            <w:tcMar>
              <w:top w:w="90" w:type="dxa"/>
              <w:start w:w="110" w:type="dxa"/>
              <w:bottom w:w="90" w:type="dxa"/>
              <w:end w:w="110" w:type="dxa"/>
            </w:tcMar>
          </w:tcPr>
          <w:p>
            <w:pPr>
              <w:spacing w:after="0" w:before="0"/>
            </w:pPr>
            <w:r>
              <w:rPr>
                <w:rFonts w:ascii="Aptos" w:hAnsi="Aptos"/>
                <w:sz w:val="15"/>
              </w:rPr>
              <w:t>прием обращения, фиксация договоренности, отмены и возврата, контроль качества, безопасность и разрешение спора</w:t>
            </w:r>
          </w:p>
        </w:tc>
        <w:tc>
          <w:tcPr>
            <w:tcW w:type="dxa" w:w="2466"/>
            <w:vAlign w:val="center"/>
            <w:tcMar>
              <w:top w:w="90" w:type="dxa"/>
              <w:start w:w="110" w:type="dxa"/>
              <w:bottom w:w="90" w:type="dxa"/>
              <w:end w:w="110" w:type="dxa"/>
            </w:tcMar>
          </w:tcPr>
          <w:p>
            <w:pPr>
              <w:spacing w:after="0" w:before="0"/>
            </w:pPr>
            <w:r>
              <w:rPr>
                <w:rFonts w:ascii="Aptos" w:hAnsi="Aptos"/>
                <w:sz w:val="15"/>
              </w:rPr>
              <w:t>аудиозапись — отдельное однозначное согласие до начала записи; обработка заказа — договор; данные работника — законодательство о труде и локальные акты</w:t>
            </w:r>
          </w:p>
        </w:tc>
      </w:tr>
    </w:tbl>
    <w:p>
      <w:pPr>
        <w:widowControl/>
        <w:spacing w:after="0"/>
      </w:pPr>
    </w:p>
    <w:p>
      <w:pPr>
        <w:keepNext w:val="0"/>
        <w:keepLines w:val="0"/>
        <w:widowControl/>
        <w:spacing w:before="0" w:after="68" w:line="269" w:lineRule="auto"/>
      </w:pPr>
      <w:r>
        <w:rPr>
          <w:rFonts w:ascii="Noto Sans" w:hAnsi="Noto Sans" w:eastAsia="Noto Sans" w:cs="Noto Sans"/>
          <w:b w:val="0"/>
          <w:i w:val="0"/>
          <w:sz w:val="18"/>
        </w:rPr>
        <w:t>2.3. Полные цели, состав данных, сроки хранения, получатели, трансграничная передача и права субъектов изложены в Политике в отношении обработки персональных данных.</w:t>
      </w:r>
    </w:p>
    <w:p>
      <w:pPr>
        <w:keepNext w:val="0"/>
        <w:keepLines w:val="0"/>
        <w:widowControl/>
        <w:spacing w:before="0" w:after="68" w:line="269" w:lineRule="auto"/>
      </w:pPr>
      <w:r>
        <w:rPr>
          <w:rFonts w:ascii="Noto Sans" w:hAnsi="Noto Sans" w:eastAsia="Noto Sans" w:cs="Noto Sans"/>
          <w:b w:val="0"/>
          <w:i w:val="0"/>
          <w:sz w:val="18"/>
        </w:rPr>
        <w:t>2.4. Пользователь не должен передавать через формы cowork.art сведения о здоровье, диагнозах и противопоказаниях своего клиента, фотографии документов, реквизиты банковской карты, CVV/CVC, SMS-коды, пароли и иные избыточные или чувствительные сведения. Медицинская анкета клиента ведется мастером самостоятельно и не загружается в аккаунт cowork.art.</w:t>
      </w:r>
    </w:p>
    <w:p>
      <w:pPr>
        <w:keepNext w:val="0"/>
        <w:keepLines w:val="0"/>
        <w:widowControl/>
        <w:spacing w:before="0" w:after="68" w:line="269" w:lineRule="auto"/>
      </w:pPr>
      <w:r>
        <w:t>2.5. Корпоративный номер +375 (44) 502-38-77 работает через SipSim.by, технический поставщик — ООО «ПитерзГарден», УНП 191844647, 220030, г. Минск, ул. Немига, д. 5, помещение 81. Деловой разговор записывается после предварительного уведомления и однозначного согласия. При несогласии доступны сайт cowork.art и mail@cowork.art. Согласие на запись не является согласием на рекламные звонки.</w:t>
      </w:r>
    </w:p>
    <w:p>
      <w:pPr>
        <w:pStyle w:val="Heading1"/>
        <w:widowControl/>
      </w:pPr>
      <w:r>
        <w:t>3. Обязательные подтверждения при оформлении заказа</w:t>
      </w:r>
    </w:p>
    <w:p>
      <w:pPr>
        <w:keepNext w:val="0"/>
        <w:keepLines w:val="0"/>
        <w:widowControl/>
        <w:spacing w:before="0" w:after="68" w:line="269" w:lineRule="auto"/>
      </w:pPr>
      <w:r>
        <w:t>Следующие отметки подтверждают договорные факты и принятие документов. Они не являются согласием на рекламу либо на любую обработку «на все случаи». Отметки не должны быть установлены заранее.</w:t>
      </w:r>
    </w:p>
    <w:p>
      <w:pPr>
        <w:pStyle w:val="Heading2"/>
        <w:widowControl/>
      </w:pPr>
      <w:r>
        <w:t>3.1. Профессиональный статус и принятие документов</w:t>
      </w:r>
    </w:p>
    <w:tbl>
      <w:tblPr>
        <w:tblW w:type="auto" w:w="0"/>
        <w:jc w:val="center"/>
        <w:tblLook w:firstColumn="1" w:firstRow="1" w:lastColumn="0" w:lastRow="0" w:noHBand="0" w:noVBand="1" w:val="04A0"/>
        <w:tblLayout w:type="fixed"/>
      </w:tblPr>
      <w:tblGrid>
        <w:gridCol w:w="9866"/>
      </w:tblGrid>
      <w:tr>
        <w:trPr>
          <w:tblHeader w:val="true"/>
          <w:cantSplit/>
        </w:trPr>
        <w:tc>
          <w:tcPr>
            <w:tcW w:type="dxa" w:w="9866"/>
            <w:shd w:fill="F7F2EC"/>
            <w:tcMar>
              <w:top w:w="120" w:type="dxa"/>
              <w:start w:w="160" w:type="dxa"/>
              <w:bottom w:w="120" w:type="dxa"/>
              <w:end w:w="160" w:type="dxa"/>
            </w:tcMar>
            <w:tcBorders>
              <w:left w:val="single" w:sz="22" w:color="966447"/>
            </w:tcBorders>
          </w:tcPr>
          <w:p>
            <w:pPr>
              <w:keepNext w:val="0"/>
              <w:keepLines w:val="0"/>
              <w:spacing w:before="0" w:after="40" w:line="269" w:lineRule="auto"/>
            </w:pPr>
            <w:r>
              <w:rPr>
                <w:rFonts w:ascii="Noto Sans" w:hAnsi="Noto Sans" w:eastAsia="Noto Sans" w:cs="Noto Sans"/>
                <w:b/>
                <w:i w:val="0"/>
                <w:color w:val="966447"/>
                <w:sz w:val="18"/>
              </w:rPr>
              <w:t>Текст обязательной отметки</w:t>
            </w:r>
          </w:p>
          <w:p>
            <w:pPr>
              <w:keepNext w:val="0"/>
              <w:keepLines w:val="0"/>
              <w:spacing w:before="0" w:after="0" w:line="264" w:lineRule="auto"/>
            </w:pPr>
            <w:r>
              <w:rPr>
                <w:rFonts w:ascii="Noto Sans" w:hAnsi="Noto Sans" w:eastAsia="Noto Sans" w:cs="Noto Sans"/>
                <w:b w:val="0"/>
                <w:i w:val="0"/>
                <w:sz w:val="17"/>
              </w:rPr>
              <w:t>Я подтверждаю, что являюсь совершеннолетним лицом и бронирую место исключительно для законной профессиональной деятельности мастера перманентного макияжа, визажиста или бровиста либо для профильного мастер-класса; принимаю Публичную оферту, Правила бронирования и пользования коворкингом и Правила отмены, переноса и возврата.</w:t>
            </w:r>
          </w:p>
        </w:tc>
      </w:tr>
    </w:tbl>
    <w:p>
      <w:pPr>
        <w:widowControl/>
        <w:spacing w:after="0"/>
      </w:pPr>
    </w:p>
    <w:p>
      <w:pPr>
        <w:keepNext w:val="0"/>
        <w:keepLines w:val="0"/>
        <w:widowControl/>
        <w:spacing w:before="0" w:after="68" w:line="269" w:lineRule="auto"/>
      </w:pPr>
      <w:r>
        <w:rPr>
          <w:rFonts w:ascii="Noto Sans" w:hAnsi="Noto Sans" w:eastAsia="Noto Sans" w:cs="Noto Sans"/>
          <w:b w:val="0"/>
          <w:i w:val="0"/>
          <w:sz w:val="18"/>
        </w:rPr>
        <w:t>Под отметкой размещаются отдельные активные ссылки на каждую действующую редакцию документа. Система сохраняет дату, время, аккаунт, номер заказа и версии принятых документов.</w:t>
      </w:r>
    </w:p>
    <w:p>
      <w:pPr>
        <w:pStyle w:val="Heading2"/>
        <w:widowControl/>
      </w:pPr>
      <w:r>
        <w:t>3.2. Подтверждение состава и цены заказа</w:t>
      </w:r>
    </w:p>
    <w:tbl>
      <w:tblPr>
        <w:tblW w:type="auto" w:w="0"/>
        <w:jc w:val="center"/>
        <w:tblLook w:firstColumn="1" w:firstRow="1" w:lastColumn="0" w:lastRow="0" w:noHBand="0" w:noVBand="1" w:val="04A0"/>
        <w:tblLayout w:type="fixed"/>
      </w:tblPr>
      <w:tblGrid>
        <w:gridCol w:w="9866"/>
      </w:tblGrid>
      <w:tr>
        <w:trPr>
          <w:tblHeader w:val="true"/>
          <w:cantSplit/>
        </w:trPr>
        <w:tc>
          <w:tcPr>
            <w:tcW w:type="dxa" w:w="9866"/>
            <w:shd w:fill="F7F2EC"/>
            <w:tcMar>
              <w:top w:w="120" w:type="dxa"/>
              <w:start w:w="160" w:type="dxa"/>
              <w:bottom w:w="120" w:type="dxa"/>
              <w:end w:w="160" w:type="dxa"/>
            </w:tcMar>
            <w:tcBorders>
              <w:left w:val="single" w:sz="22" w:color="966447"/>
            </w:tcBorders>
          </w:tcPr>
          <w:p>
            <w:pPr>
              <w:keepNext w:val="0"/>
              <w:keepLines w:val="0"/>
              <w:spacing w:before="0" w:after="40" w:line="269" w:lineRule="auto"/>
            </w:pPr>
            <w:r>
              <w:rPr>
                <w:rFonts w:ascii="Noto Sans" w:hAnsi="Noto Sans" w:eastAsia="Noto Sans" w:cs="Noto Sans"/>
                <w:b/>
                <w:i w:val="0"/>
                <w:color w:val="966447"/>
                <w:sz w:val="18"/>
              </w:rPr>
              <w:t>Текст перед кнопкой оплаты</w:t>
            </w:r>
          </w:p>
          <w:p>
            <w:pPr>
              <w:keepNext w:val="0"/>
              <w:keepLines w:val="0"/>
              <w:spacing w:before="0" w:after="0" w:line="264" w:lineRule="auto"/>
            </w:pPr>
            <w:r>
              <w:rPr>
                <w:rFonts w:ascii="Noto Sans" w:hAnsi="Noto Sans" w:eastAsia="Noto Sans" w:cs="Noto Sans"/>
                <w:b w:val="0"/>
                <w:i w:val="0"/>
                <w:sz w:val="17"/>
              </w:rPr>
              <w:t>Я проверил(а) дату, время, рабочее место, формат «почасово» или «смена», дополнительные услуги, примененную скидку либо объем списания пакетных часов и итоговую сумму заказа.</w:t>
            </w:r>
          </w:p>
        </w:tc>
      </w:tr>
    </w:tbl>
    <w:p>
      <w:pPr>
        <w:widowControl/>
        <w:spacing w:after="0"/>
      </w:pPr>
    </w:p>
    <w:p>
      <w:pPr>
        <w:keepNext w:val="0"/>
        <w:keepLines w:val="0"/>
        <w:widowControl/>
        <w:spacing w:before="0" w:after="68" w:line="269" w:lineRule="auto"/>
      </w:pPr>
      <w:r>
        <w:rPr>
          <w:rFonts w:ascii="Noto Sans" w:hAnsi="Noto Sans" w:eastAsia="Noto Sans" w:cs="Noto Sans"/>
          <w:b w:val="0"/>
          <w:i w:val="0"/>
          <w:sz w:val="18"/>
        </w:rPr>
        <w:t>Для денежной оплаты используется кнопка «Подтвердить заказ и оплатить». Для приобретения пакета — «Купить пакет и оплатить». Для заказа, полностью оплачиваемого пакетным балансом, — «Подтвердить и списать часы».</w:t>
      </w:r>
    </w:p>
    <w:p>
      <w:pPr>
        <w:pStyle w:val="Heading2"/>
        <w:widowControl/>
      </w:pPr>
      <w:r>
        <w:t>3.3. Электронный кассовый документ</w:t>
      </w:r>
    </w:p>
    <w:tbl>
      <w:tblPr>
        <w:tblW w:type="auto" w:w="0"/>
        <w:jc w:val="center"/>
        <w:tblLook w:firstColumn="1" w:firstRow="1" w:lastColumn="0" w:lastRow="0" w:noHBand="0" w:noVBand="1" w:val="04A0"/>
        <w:tblLayout w:type="fixed"/>
      </w:tblPr>
      <w:tblGrid>
        <w:gridCol w:w="9866"/>
      </w:tblGrid>
      <w:tr>
        <w:trPr>
          <w:tblHeader w:val="true"/>
          <w:cantSplit/>
        </w:trPr>
        <w:tc>
          <w:tcPr>
            <w:tcW w:type="dxa" w:w="9866"/>
            <w:shd w:fill="F7F2EC"/>
            <w:tcMar>
              <w:top w:w="120" w:type="dxa"/>
              <w:start w:w="160" w:type="dxa"/>
              <w:bottom w:w="120" w:type="dxa"/>
              <w:end w:w="160" w:type="dxa"/>
            </w:tcMar>
            <w:tcBorders>
              <w:left w:val="single" w:sz="22" w:color="966447"/>
            </w:tcBorders>
          </w:tcPr>
          <w:p>
            <w:pPr>
              <w:keepNext w:val="0"/>
              <w:keepLines w:val="0"/>
              <w:spacing w:before="0" w:after="40" w:line="269" w:lineRule="auto"/>
            </w:pPr>
            <w:r>
              <w:rPr>
                <w:rFonts w:ascii="Noto Sans" w:hAnsi="Noto Sans" w:eastAsia="Noto Sans" w:cs="Noto Sans"/>
                <w:b/>
                <w:i w:val="0"/>
                <w:color w:val="966447"/>
                <w:sz w:val="18"/>
              </w:rPr>
              <w:t>Отдельный выбор электронной формы</w:t>
            </w:r>
          </w:p>
          <w:p>
            <w:pPr>
              <w:keepNext w:val="0"/>
              <w:keepLines w:val="0"/>
              <w:spacing w:before="0" w:after="0" w:line="264" w:lineRule="auto"/>
            </w:pPr>
            <w:r>
              <w:rPr>
                <w:rFonts w:ascii="Noto Sans" w:hAnsi="Noto Sans" w:eastAsia="Noto Sans" w:cs="Noto Sans"/>
                <w:b w:val="0"/>
                <w:i w:val="0"/>
                <w:sz w:val="17"/>
              </w:rPr>
              <w:t>Я заранее выбираю получение кассового документа только в электронной форме на указанный мной адрес электронной почты и подтверждаю корректность этого адреса.</w:t>
            </w:r>
          </w:p>
        </w:tc>
      </w:tr>
    </w:tbl>
    <w:p>
      <w:pPr>
        <w:widowControl/>
        <w:spacing w:after="0"/>
      </w:pPr>
    </w:p>
    <w:p>
      <w:pPr>
        <w:keepNext w:val="0"/>
        <w:keepLines w:val="0"/>
        <w:widowControl/>
        <w:spacing w:before="0" w:after="68" w:line="269" w:lineRule="auto"/>
      </w:pPr>
      <w:r>
        <w:rPr>
          <w:rFonts w:ascii="Noto Sans" w:hAnsi="Noto Sans" w:eastAsia="Noto Sans" w:cs="Noto Sans"/>
          <w:b w:val="0"/>
          <w:i w:val="0"/>
          <w:sz w:val="18"/>
        </w:rPr>
        <w:t>Отметка используется только в случаях, когда законодательство допускает предварительный выбор исключительно электронной формы. При отсутствии отметки кассовый документ предоставляется в форме и порядке, обязательных для конкретного расчета.</w:t>
      </w:r>
    </w:p>
    <w:p>
      <w:pPr>
        <w:pStyle w:val="Heading2"/>
        <w:widowControl/>
      </w:pPr>
      <w:r>
        <w:t>3.4. Достоверность контактов</w:t>
      </w:r>
    </w:p>
    <w:p>
      <w:pPr>
        <w:keepNext w:val="0"/>
        <w:keepLines w:val="0"/>
        <w:widowControl/>
        <w:spacing w:before="0" w:after="68" w:line="269" w:lineRule="auto"/>
      </w:pPr>
      <w:r>
        <w:rPr>
          <w:rFonts w:ascii="Noto Sans" w:hAnsi="Noto Sans" w:eastAsia="Noto Sans" w:cs="Noto Sans"/>
          <w:b w:val="0"/>
          <w:i w:val="0"/>
          <w:sz w:val="18"/>
        </w:rPr>
        <w:t>Кнопка подтверждения номера телефона либо электронной почты означает подтверждение владения соответствующим каналом и запроса на отправку одноразового кода. Она не означает согласия на рекламные сообщения.</w:t>
      </w:r>
    </w:p>
    <w:p>
      <w:pPr>
        <w:pStyle w:val="Heading1"/>
        <w:widowControl/>
      </w:pPr>
      <w:r>
        <w:t>4. Технические сообщения без рекламного согласия</w:t>
      </w:r>
    </w:p>
    <w:p>
      <w:pPr>
        <w:keepNext w:val="0"/>
        <w:keepLines w:val="0"/>
        <w:widowControl/>
        <w:spacing w:before="0" w:after="68" w:line="269" w:lineRule="auto"/>
      </w:pPr>
      <w:r>
        <w:rPr>
          <w:rFonts w:ascii="Noto Sans" w:hAnsi="Noto Sans" w:eastAsia="Noto Sans" w:cs="Noto Sans"/>
          <w:b w:val="0"/>
          <w:i w:val="0"/>
          <w:sz w:val="18"/>
        </w:rPr>
        <w:t>4.1. Оператор вправе направлять сообщения, необходимые для исполнения договора, безопасности и реализации запроса пользователя, по указанному для заказа телефону, электронной почте или выбранному техническому каналу.</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одноразовый код, подтверждение регистрации и восстановление доступа;</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подтверждение, изменение, перенос или отмена бронирования;</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напоминание о времени уже подтвержденной сессии и правилах доступа;</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QR-код, номер брони и сведения, необходимые для входа;</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счет, кассовый документ, платежный статус, возврат и запрос уточнений по операции;</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изменение пакетного баланса, срок действия и сведения о подтвержденном списании;</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неисправность, авария, замена места, закрытие доступа либо безопасность аккаунта;</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ответ на обращение, претензию или запрос о персональных данных.</w:t>
      </w:r>
    </w:p>
    <w:p>
      <w:pPr>
        <w:keepNext w:val="0"/>
        <w:keepLines w:val="0"/>
        <w:widowControl/>
        <w:spacing w:before="0" w:after="68" w:line="269" w:lineRule="auto"/>
      </w:pPr>
      <w:r>
        <w:rPr>
          <w:rFonts w:ascii="Noto Sans" w:hAnsi="Noto Sans" w:eastAsia="Noto Sans" w:cs="Noto Sans"/>
          <w:b w:val="0"/>
          <w:i w:val="0"/>
          <w:sz w:val="18"/>
        </w:rPr>
        <w:t>4.2. Техническое сообщение не включает самостоятельное предложение приобрести новый пакет, забронировать свободное окно, воспользоваться скидкой, купить товар PM.MARKET или иную рекламу.</w:t>
      </w:r>
    </w:p>
    <w:p>
      <w:pPr>
        <w:keepNext w:val="0"/>
        <w:keepLines w:val="0"/>
        <w:widowControl/>
        <w:spacing w:before="0" w:after="68" w:line="269" w:lineRule="auto"/>
      </w:pPr>
      <w:r>
        <w:rPr>
          <w:rFonts w:ascii="Noto Sans" w:hAnsi="Noto Sans" w:eastAsia="Noto Sans" w:cs="Noto Sans"/>
          <w:b w:val="0"/>
          <w:i w:val="0"/>
          <w:sz w:val="18"/>
        </w:rPr>
        <w:t>4.3. Напоминание о незавершенном бронировании, подбор свободных окон после завершения диалога, предложение вернуться, скидка, акция и поздравительная рассылка считаются рекламной коммуникацией и допускаются только по соответствующему отдельному согласию.</w:t>
      </w:r>
    </w:p>
    <w:p>
      <w:pPr>
        <w:keepNext w:val="0"/>
        <w:keepLines w:val="0"/>
        <w:widowControl/>
        <w:spacing w:before="0" w:after="68" w:line="269" w:lineRule="auto"/>
      </w:pPr>
      <w:r>
        <w:rPr>
          <w:rFonts w:ascii="Noto Sans" w:hAnsi="Noto Sans" w:eastAsia="Noto Sans" w:cs="Noto Sans"/>
          <w:b w:val="0"/>
          <w:i w:val="0"/>
          <w:sz w:val="18"/>
        </w:rPr>
        <w:t>4.4. Пользователь может отключить необязательные напоминания в аккаунте. Сообщения, без которых невозможно обеспечить безопасность, сообщить об изменении уже подтвержденного заказа или выполнить обязательство, направляются до завершения соответствующего правоотношения.</w:t>
      </w:r>
    </w:p>
    <w:p>
      <w:pPr>
        <w:pStyle w:val="Heading1"/>
        <w:widowControl/>
      </w:pPr>
      <w:r>
        <w:t>5. Общие правила добровольных согласий</w:t>
      </w:r>
    </w:p>
    <w:p>
      <w:pPr>
        <w:keepNext w:val="0"/>
        <w:keepLines w:val="0"/>
        <w:widowControl/>
        <w:spacing w:before="0" w:after="68" w:line="269" w:lineRule="auto"/>
      </w:pPr>
      <w:r>
        <w:rPr>
          <w:rFonts w:ascii="Noto Sans" w:hAnsi="Noto Sans" w:eastAsia="Noto Sans" w:cs="Noto Sans"/>
          <w:b w:val="0"/>
          <w:i w:val="0"/>
          <w:sz w:val="18"/>
        </w:rPr>
        <w:t>5.1. Каждая самостоятельная цель и каждый рекламный канал имеют отдельную незаранее отмеченную отметку. Согласие предоставляется активным действием и не включается в обязательную отметку принятия Оферты.</w:t>
      </w:r>
    </w:p>
    <w:p>
      <w:pPr>
        <w:keepNext w:val="0"/>
        <w:keepLines w:val="0"/>
        <w:widowControl/>
        <w:spacing w:before="0" w:after="68" w:line="269" w:lineRule="auto"/>
      </w:pPr>
      <w:r>
        <w:rPr>
          <w:rFonts w:ascii="Noto Sans" w:hAnsi="Noto Sans" w:eastAsia="Noto Sans" w:cs="Noto Sans"/>
          <w:b w:val="0"/>
          <w:i w:val="0"/>
          <w:sz w:val="18"/>
        </w:rPr>
        <w:t>5.2. До предоставления согласия пользователь видит наименование и адрес Оператора, цель, перечень данных, перечень действий, срок, способ отзыва, последствия отказа и сведения о получателях либо уполномоченных лицах, когда они привлекаются.</w:t>
      </w:r>
    </w:p>
    <w:p>
      <w:pPr>
        <w:keepNext w:val="0"/>
        <w:keepLines w:val="0"/>
        <w:widowControl/>
        <w:spacing w:before="0" w:after="68" w:line="269" w:lineRule="auto"/>
      </w:pPr>
      <w:r>
        <w:rPr>
          <w:rFonts w:ascii="Noto Sans" w:hAnsi="Noto Sans" w:eastAsia="Noto Sans" w:cs="Noto Sans"/>
          <w:b w:val="0"/>
          <w:i w:val="0"/>
          <w:sz w:val="18"/>
        </w:rPr>
        <w:t>5.3. Общие действия по добровольным согласиям: сбор, систематизация, хранение, уточнение, использование, предоставление выбранному каналу связи, блокирование и удаление; автоматизированная и неавтоматизированная обработка.</w:t>
      </w:r>
    </w:p>
    <w:p>
      <w:pPr>
        <w:keepNext w:val="0"/>
        <w:keepLines w:val="0"/>
        <w:widowControl/>
        <w:spacing w:before="0" w:after="68" w:line="269" w:lineRule="auto"/>
      </w:pPr>
      <w:r>
        <w:rPr>
          <w:rFonts w:ascii="Noto Sans" w:hAnsi="Noto Sans" w:eastAsia="Noto Sans" w:cs="Noto Sans"/>
          <w:b w:val="0"/>
          <w:i w:val="0"/>
          <w:sz w:val="18"/>
        </w:rPr>
        <w:t>5.4. Если в конкретной форме не указан более короткий срок, согласие действует три года с даты его предоставления либо до отзыва — в зависимости от того, что наступит раньше.</w:t>
      </w:r>
    </w:p>
    <w:p>
      <w:pPr>
        <w:keepNext w:val="0"/>
        <w:keepLines w:val="0"/>
        <w:widowControl/>
        <w:spacing w:before="0" w:after="68" w:line="269" w:lineRule="auto"/>
      </w:pPr>
      <w:r>
        <w:rPr>
          <w:rFonts w:ascii="Noto Sans" w:hAnsi="Noto Sans" w:eastAsia="Noto Sans"/>
          <w:b w:val="0"/>
          <w:i w:val="0"/>
        </w:rPr>
        <w:t>5.5. На дату настоящей редакции рекламные аудитории не формируются из медицинских данных, данных клиентов мастера, содержимого процедур, реквизитов банковской карты и сообщений ИИ-помощнику. Профилирование, основанное на специальных персональных данных, не допускается.</w:t>
      </w:r>
    </w:p>
    <w:p>
      <w:pPr>
        <w:keepNext w:val="0"/>
        <w:keepLines w:val="0"/>
        <w:widowControl/>
        <w:spacing w:before="0" w:after="68" w:line="269" w:lineRule="auto"/>
      </w:pPr>
      <w:r>
        <w:rPr>
          <w:rFonts w:ascii="Noto Sans" w:hAnsi="Noto Sans" w:eastAsia="Noto Sans" w:cs="Noto Sans"/>
          <w:b w:val="0"/>
          <w:i w:val="0"/>
          <w:sz w:val="18"/>
        </w:rPr>
        <w:t>5.6. Работники Оператора получают доступ по служебной необходимости. Если для добровольной цели привлекается внешнее уполномоченное лицо, его наименование и местонахождение показываются в форме до включения отметки и сохраняются в записи согласия. Без такого указания передача ему данных для добровольной цели не производится.</w:t>
      </w:r>
    </w:p>
    <w:tbl>
      <w:tblPr>
        <w:tblW w:type="auto" w:w="0"/>
        <w:jc w:val="center"/>
        <w:tblLook w:firstColumn="1" w:firstRow="1" w:lastColumn="0" w:lastRow="0" w:noHBand="0" w:noVBand="1" w:val="04A0"/>
        <w:tblLayout w:type="fixed"/>
      </w:tblPr>
      <w:tblGrid>
        <w:gridCol w:w="9866"/>
      </w:tblGrid>
      <w:tr>
        <w:trPr>
          <w:tblHeader w:val="true"/>
          <w:cantSplit/>
        </w:trPr>
        <w:tc>
          <w:tcPr>
            <w:tcW w:type="dxa" w:w="9866"/>
            <w:shd w:fill="F7F2EC"/>
            <w:tcMar>
              <w:top w:w="120" w:type="dxa"/>
              <w:start w:w="160" w:type="dxa"/>
              <w:bottom w:w="120" w:type="dxa"/>
              <w:end w:w="160" w:type="dxa"/>
            </w:tcMar>
            <w:tcBorders>
              <w:left w:val="single" w:sz="22" w:color="966447"/>
            </w:tcBorders>
          </w:tcPr>
          <w:p>
            <w:r>
              <w:t>Последствие отказа</w:t>
              <w:br/>
              <w:t>Отказ означает только отсутствие соответствующей рекламы, необязательного канала, аналитики либо публикации. Цена, доступность мест, пакетный баланс, возможность обратиться к сотруднику и качество обслуживания не ухудшаются.</w:t>
            </w:r>
          </w:p>
        </w:tc>
      </w:tr>
    </w:tbl>
    <w:p>
      <w:pPr>
        <w:widowControl/>
        <w:spacing w:after="0"/>
      </w:pPr>
    </w:p>
    <w:p>
      <w:pPr>
        <w:pStyle w:val="Heading1"/>
        <w:widowControl/>
      </w:pPr>
      <w:r>
        <w:t>6. Отдельные согласия на рекламные сообщения</w:t>
      </w:r>
    </w:p>
    <w:p>
      <w:pPr>
        <w:keepNext w:val="0"/>
        <w:keepLines w:val="0"/>
        <w:widowControl/>
        <w:spacing w:before="0" w:after="68" w:line="269" w:lineRule="auto"/>
      </w:pPr>
      <w:r>
        <w:rPr>
          <w:rFonts w:ascii="Noto Sans" w:hAnsi="Noto Sans" w:eastAsia="Noto Sans" w:cs="Noto Sans"/>
          <w:b w:val="0"/>
          <w:i w:val="0"/>
          <w:sz w:val="18"/>
        </w:rPr>
        <w:t>6.1. Цель каждого согласия — информирование о новых рабочих местах и услугах cowork.art, доступных окнах, пакетах часов, скидках, мероприятиях и иных предложениях ООО «Студия Аллы Ромазановой». Реклама независимого продавца PM.MARKET и партнеров включается только при прямом указании в отдельном согласии; настоящие формы ее не охватывают.</w:t>
      </w:r>
    </w:p>
    <w:p>
      <w:pPr>
        <w:keepNext w:val="0"/>
        <w:keepLines w:val="0"/>
        <w:widowControl/>
        <w:spacing w:before="0" w:after="68" w:line="269" w:lineRule="auto"/>
      </w:pPr>
      <w:r>
        <w:rPr>
          <w:rFonts w:ascii="Noto Sans" w:hAnsi="Noto Sans" w:eastAsia="Noto Sans" w:cs="Noto Sans"/>
          <w:b w:val="0"/>
          <w:i w:val="0"/>
          <w:sz w:val="18"/>
        </w:rPr>
        <w:t>6.2. Для рекламной цели могут использоваться имя или профессиональный никнейм, выбранный канал, факт регистрации, общая категория интереса — перманентный макияж, визаж, брови или мастер-классы — и факт наличия либо отсутствия активного пакета. Детальная история процедур и сведения о клиентах мастера не используются.</w:t>
      </w:r>
    </w:p>
    <w:p>
      <w:pPr>
        <w:pStyle w:val="Heading2"/>
        <w:widowControl/>
      </w:pPr>
      <w:r>
        <w:t>6.3. Электронная почта</w:t>
      </w:r>
    </w:p>
    <w:tbl>
      <w:tblPr>
        <w:tblW w:type="auto" w:w="0"/>
        <w:jc w:val="center"/>
        <w:tblLook w:firstColumn="1" w:firstRow="1" w:lastColumn="0" w:lastRow="0" w:noHBand="0" w:noVBand="1" w:val="04A0"/>
        <w:tblLayout w:type="fixed"/>
      </w:tblPr>
      <w:tblGrid>
        <w:gridCol w:w="9866"/>
      </w:tblGrid>
      <w:tr>
        <w:trPr>
          <w:tblHeader w:val="true"/>
          <w:cantSplit/>
        </w:trPr>
        <w:tc>
          <w:tcPr>
            <w:tcW w:type="dxa" w:w="9866"/>
            <w:shd w:fill="F7F2EC"/>
            <w:tcMar>
              <w:top w:w="120" w:type="dxa"/>
              <w:start w:w="160" w:type="dxa"/>
              <w:bottom w:w="120" w:type="dxa"/>
              <w:end w:w="160" w:type="dxa"/>
            </w:tcMar>
            <w:tcBorders>
              <w:left w:val="single" w:sz="22" w:color="966447"/>
            </w:tcBorders>
          </w:tcPr>
          <w:p>
            <w:pPr>
              <w:keepNext w:val="0"/>
              <w:keepLines w:val="0"/>
              <w:spacing w:before="0" w:after="40" w:line="269" w:lineRule="auto"/>
            </w:pPr>
            <w:r>
              <w:rPr>
                <w:rFonts w:ascii="Noto Sans" w:hAnsi="Noto Sans" w:eastAsia="Noto Sans" w:cs="Noto Sans"/>
                <w:b/>
                <w:i w:val="0"/>
                <w:color w:val="966447"/>
                <w:sz w:val="18"/>
              </w:rPr>
              <w:t>Отметка «Реклама по email»</w:t>
            </w:r>
          </w:p>
          <w:p>
            <w:pPr>
              <w:keepNext w:val="0"/>
              <w:keepLines w:val="0"/>
              <w:spacing w:before="0" w:after="0" w:line="264" w:lineRule="auto"/>
            </w:pPr>
            <w:r>
              <w:rPr>
                <w:rFonts w:ascii="Noto Sans" w:hAnsi="Noto Sans" w:eastAsia="Noto Sans" w:cs="Noto Sans"/>
                <w:b w:val="0"/>
                <w:i w:val="0"/>
                <w:sz w:val="17"/>
              </w:rPr>
              <w:t>Я добровольно соглашаюсь получать от ООО «Студия Аллы Ромазановой» рекламные сообщения cowork.art по электронной почте. Для этого могут обрабатываться мое имя или никнейм, адрес электронной почты, общая профессиональная категория и сведения о наличии активного пакета. Согласие действует три года либо до отзыва; отказ не влияет на бронирование.</w:t>
            </w:r>
          </w:p>
        </w:tc>
      </w:tr>
    </w:tbl>
    <w:p>
      <w:pPr>
        <w:widowControl/>
        <w:spacing w:after="0"/>
      </w:pPr>
    </w:p>
    <w:p>
      <w:pPr>
        <w:pStyle w:val="Heading2"/>
        <w:widowControl/>
      </w:pPr>
      <w:r>
        <w:t>6.4. SMS</w:t>
      </w:r>
    </w:p>
    <w:tbl>
      <w:tblPr>
        <w:tblW w:type="auto" w:w="0"/>
        <w:jc w:val="center"/>
        <w:tblLook w:firstColumn="1" w:firstRow="1" w:lastColumn="0" w:lastRow="0" w:noHBand="0" w:noVBand="1" w:val="04A0"/>
        <w:tblLayout w:type="fixed"/>
      </w:tblPr>
      <w:tblGrid>
        <w:gridCol w:w="9866"/>
      </w:tblGrid>
      <w:tr>
        <w:trPr>
          <w:tblHeader w:val="true"/>
          <w:cantSplit/>
        </w:trPr>
        <w:tc>
          <w:tcPr>
            <w:tcW w:type="dxa" w:w="9866"/>
            <w:shd w:fill="F7F2EC"/>
            <w:tcMar>
              <w:top w:w="120" w:type="dxa"/>
              <w:start w:w="160" w:type="dxa"/>
              <w:bottom w:w="120" w:type="dxa"/>
              <w:end w:w="160" w:type="dxa"/>
            </w:tcMar>
            <w:tcBorders>
              <w:left w:val="single" w:sz="22" w:color="966447"/>
            </w:tcBorders>
          </w:tcPr>
          <w:p>
            <w:pPr>
              <w:keepNext w:val="0"/>
              <w:keepLines w:val="0"/>
              <w:spacing w:before="0" w:after="40" w:line="269" w:lineRule="auto"/>
            </w:pPr>
            <w:r>
              <w:rPr>
                <w:rFonts w:ascii="Noto Sans" w:hAnsi="Noto Sans" w:eastAsia="Noto Sans" w:cs="Noto Sans"/>
                <w:b/>
                <w:i w:val="0"/>
                <w:color w:val="966447"/>
                <w:sz w:val="18"/>
              </w:rPr>
              <w:t>Отметка «Реклама по SMS»</w:t>
            </w:r>
          </w:p>
          <w:p>
            <w:pPr>
              <w:keepNext w:val="0"/>
              <w:keepLines w:val="0"/>
              <w:spacing w:before="0" w:after="0" w:line="264" w:lineRule="auto"/>
            </w:pPr>
            <w:r>
              <w:rPr>
                <w:rFonts w:ascii="Noto Sans" w:hAnsi="Noto Sans" w:eastAsia="Noto Sans" w:cs="Noto Sans"/>
                <w:b w:val="0"/>
                <w:i w:val="0"/>
                <w:sz w:val="17"/>
              </w:rPr>
              <w:t>Я добровольно соглашаюсь получать от ООО «Студия Аллы Ромазановой» рекламные SMS-сообщения cowork.art. Для этого могут обрабатываться мое имя или никнейм, номер телефона, общая профессиональная категория и сведения о наличии активного пакета. Согласие действует три года либо до отзыва; отказ не влияет на бронирование.</w:t>
            </w:r>
          </w:p>
        </w:tc>
      </w:tr>
    </w:tbl>
    <w:p>
      <w:pPr>
        <w:widowControl/>
        <w:spacing w:after="0"/>
      </w:pPr>
    </w:p>
    <w:p>
      <w:pPr>
        <w:pStyle w:val="Heading2"/>
        <w:widowControl/>
      </w:pPr>
      <w:r>
        <w:t>6.5. Рекламные телефонные звонки</w:t>
      </w:r>
    </w:p>
    <w:tbl>
      <w:tblPr>
        <w:tblW w:type="auto" w:w="0"/>
        <w:jc w:val="center"/>
        <w:tblLook w:firstColumn="1" w:firstRow="1" w:lastColumn="0" w:lastRow="0" w:noHBand="0" w:noVBand="1" w:val="04A0"/>
        <w:tblLayout w:type="fixed"/>
      </w:tblPr>
      <w:tblGrid>
        <w:gridCol w:w="9866"/>
      </w:tblGrid>
      <w:tr>
        <w:trPr>
          <w:tblHeader w:val="true"/>
          <w:cantSplit/>
        </w:trPr>
        <w:tc>
          <w:tcPr>
            <w:tcW w:type="dxa" w:w="9866"/>
            <w:shd w:fill="F7F2EC"/>
            <w:tcMar>
              <w:top w:w="120" w:type="dxa"/>
              <w:start w:w="160" w:type="dxa"/>
              <w:bottom w:w="120" w:type="dxa"/>
              <w:end w:w="160" w:type="dxa"/>
            </w:tcMar>
            <w:tcBorders>
              <w:left w:val="single" w:sz="22" w:color="966447"/>
            </w:tcBorders>
          </w:tcPr>
          <w:p>
            <w:pPr>
              <w:keepNext w:val="0"/>
              <w:keepLines w:val="0"/>
              <w:spacing w:before="0" w:after="40" w:line="269" w:lineRule="auto"/>
            </w:pPr>
            <w:r>
              <w:t>Отметка «Рекламные звонки»</w:t>
              <w:br/>
              <w:t>Я добровольно соглашаюсь на рекламные телефонные звонки ООО «Студия Аллы Ромазановой» о предложениях cowork.art. Для этого могут обрабатываться мое имя или никнейм, номер телефона, общая профессиональная категория и сведения о наличии активного пакета. Если рекламный разговор записывается, до записи я получаю отдельное уведомление и могу отказаться от записи или разговора. Согласие действует три года либо до отзыва; отказ не влияет на бронирование.</w:t>
            </w:r>
          </w:p>
        </w:tc>
      </w:tr>
    </w:tbl>
    <w:p>
      <w:pPr>
        <w:widowControl/>
        <w:spacing w:after="0"/>
      </w:pPr>
    </w:p>
    <w:p>
      <w:pPr>
        <w:pStyle w:val="Heading2"/>
        <w:widowControl/>
      </w:pPr>
      <w:r>
        <w:t>6.6. Telegram</w:t>
      </w:r>
    </w:p>
    <w:tbl>
      <w:tblPr>
        <w:tblW w:type="auto" w:w="0"/>
        <w:jc w:val="center"/>
        <w:tblLook w:firstColumn="1" w:firstRow="1" w:lastColumn="0" w:lastRow="0" w:noHBand="0" w:noVBand="1" w:val="04A0"/>
        <w:tblLayout w:type="fixed"/>
      </w:tblPr>
      <w:tblGrid>
        <w:gridCol w:w="9866"/>
      </w:tblGrid>
      <w:tr>
        <w:trPr>
          <w:tblHeader w:val="true"/>
          <w:cantSplit/>
        </w:trPr>
        <w:tc>
          <w:tcPr>
            <w:tcW w:type="dxa" w:w="9866"/>
            <w:shd w:fill="F7F2EC"/>
            <w:tcMar>
              <w:top w:w="120" w:type="dxa"/>
              <w:start w:w="160" w:type="dxa"/>
              <w:bottom w:w="120" w:type="dxa"/>
              <w:end w:w="160" w:type="dxa"/>
            </w:tcMar>
            <w:tcBorders>
              <w:left w:val="single" w:sz="22" w:color="966447"/>
            </w:tcBorders>
          </w:tcPr>
          <w:p>
            <w:pPr>
              <w:keepNext w:val="0"/>
              <w:keepLines w:val="0"/>
              <w:spacing w:before="0" w:after="40" w:line="269" w:lineRule="auto"/>
            </w:pPr>
            <w:r>
              <w:rPr>
                <w:rFonts w:ascii="Noto Sans" w:hAnsi="Noto Sans" w:eastAsia="Noto Sans" w:cs="Noto Sans"/>
                <w:b/>
                <w:i w:val="0"/>
                <w:color w:val="966447"/>
                <w:sz w:val="18"/>
              </w:rPr>
              <w:t>Отметка «Реклама в Telegram»</w:t>
            </w:r>
          </w:p>
          <w:p>
            <w:pPr>
              <w:keepNext w:val="0"/>
              <w:keepLines w:val="0"/>
              <w:spacing w:before="0" w:after="0" w:line="264" w:lineRule="auto"/>
            </w:pPr>
            <w:r>
              <w:rPr>
                <w:rFonts w:ascii="Noto Sans" w:hAnsi="Noto Sans" w:eastAsia="Noto Sans" w:cs="Noto Sans"/>
                <w:b w:val="0"/>
                <w:i w:val="0"/>
                <w:sz w:val="17"/>
              </w:rPr>
              <w:t>Я добровольно соглашаюсь получать рекламные сообщения cowork.art в Telegram. Для этого ООО «Студия Аллы Ромазановой» может обрабатывать мое имя или никнейм, номер телефона и (или) Telegram-идентификатор, общую профессиональную категорию и сведения о наличии активного пакета, а также передавать данные оператору платформы Telegram для доставки сообщений. Я уведомлен(а) о трансграничной передаче и рисках обработки иностранной платформой. Согласие действует три года либо до отзыва; отказ не влияет на бронирование.</w:t>
            </w:r>
          </w:p>
        </w:tc>
      </w:tr>
    </w:tbl>
    <w:p>
      <w:pPr>
        <w:widowControl/>
        <w:spacing w:after="0"/>
      </w:pPr>
    </w:p>
    <w:p>
      <w:pPr>
        <w:pStyle w:val="Heading2"/>
        <w:pageBreakBefore/>
        <w:widowControl/>
      </w:pPr>
      <w:r>
        <w:t>6.7. Instagram Direct</w:t>
      </w:r>
    </w:p>
    <w:tbl>
      <w:tblPr>
        <w:tblW w:type="auto" w:w="0"/>
        <w:jc w:val="center"/>
        <w:tblLook w:firstColumn="1" w:firstRow="1" w:lastColumn="0" w:lastRow="0" w:noHBand="0" w:noVBand="1" w:val="04A0"/>
        <w:tblLayout w:type="fixed"/>
      </w:tblPr>
      <w:tblGrid>
        <w:gridCol w:w="9866"/>
      </w:tblGrid>
      <w:tr>
        <w:trPr>
          <w:tblHeader w:val="true"/>
          <w:cantSplit/>
        </w:trPr>
        <w:tc>
          <w:tcPr>
            <w:tcW w:type="dxa" w:w="9866"/>
            <w:shd w:fill="F7F2EC"/>
            <w:tcMar>
              <w:top w:w="120" w:type="dxa"/>
              <w:start w:w="160" w:type="dxa"/>
              <w:bottom w:w="120" w:type="dxa"/>
              <w:end w:w="160" w:type="dxa"/>
            </w:tcMar>
            <w:tcBorders>
              <w:left w:val="single" w:sz="22" w:color="966447"/>
            </w:tcBorders>
          </w:tcPr>
          <w:p>
            <w:pPr>
              <w:keepNext w:val="0"/>
              <w:keepLines w:val="0"/>
              <w:spacing w:before="0" w:after="40" w:line="269" w:lineRule="auto"/>
            </w:pPr>
            <w:r>
              <w:rPr>
                <w:rFonts w:ascii="Noto Sans" w:hAnsi="Noto Sans" w:eastAsia="Noto Sans" w:cs="Noto Sans"/>
                <w:b/>
                <w:i w:val="0"/>
                <w:color w:val="966447"/>
                <w:sz w:val="18"/>
              </w:rPr>
              <w:t>Отметка «Реклама в Instagram Direct»</w:t>
            </w:r>
          </w:p>
          <w:p>
            <w:pPr>
              <w:keepNext w:val="0"/>
              <w:keepLines w:val="0"/>
              <w:spacing w:before="0" w:after="0" w:line="264" w:lineRule="auto"/>
            </w:pPr>
            <w:r>
              <w:rPr>
                <w:rFonts w:ascii="Noto Sans" w:hAnsi="Noto Sans" w:eastAsia="Noto Sans" w:cs="Noto Sans"/>
                <w:b w:val="0"/>
                <w:i w:val="0"/>
                <w:sz w:val="17"/>
              </w:rPr>
              <w:t>Я добровольно соглашаюсь получать рекламные сообщения cowork.art в Instagram Direct. Для этого ООО «Студия Аллы Ромазановой» может обрабатывать мое имя или никнейм, имя аккаунта Instagram, общую профессиональную категорию и сведения о наличии активного пакета, а также передавать данные оператору платформы Instagram для доставки сообщений. Я уведомлен(а) о трансграничной передаче и рисках обработки иностранной платформой. Согласие действует три года либо до отзыва; отказ не влияет на бронирование.</w:t>
            </w:r>
          </w:p>
        </w:tc>
      </w:tr>
    </w:tbl>
    <w:p>
      <w:pPr>
        <w:widowControl/>
        <w:spacing w:after="0"/>
      </w:pPr>
    </w:p>
    <w:p>
      <w:pPr>
        <w:keepNext w:val="0"/>
        <w:keepLines w:val="0"/>
        <w:widowControl/>
        <w:spacing w:before="0" w:after="68" w:line="269" w:lineRule="auto"/>
      </w:pPr>
      <w:r>
        <w:rPr>
          <w:rFonts w:ascii="Noto Sans" w:hAnsi="Noto Sans" w:eastAsia="Noto Sans" w:cs="Noto Sans"/>
          <w:b w:val="0"/>
          <w:i w:val="0"/>
          <w:sz w:val="18"/>
        </w:rPr>
        <w:t>6.8. Отказ от одного канала не прекращает другие каналы, на которые сохраняется отдельное согласие. В каждом электронном рекламном сообщении предоставляется понятный способ отказа, когда это технически возможно.</w:t>
      </w:r>
    </w:p>
    <w:p>
      <w:pPr>
        <w:keepNext w:val="0"/>
        <w:keepLines w:val="0"/>
        <w:widowControl/>
        <w:spacing w:before="0" w:after="68" w:line="269" w:lineRule="auto"/>
      </w:pPr>
      <w:r>
        <w:rPr>
          <w:rFonts w:ascii="Noto Sans" w:hAnsi="Noto Sans" w:eastAsia="Noto Sans" w:cs="Noto Sans"/>
          <w:b w:val="0"/>
          <w:i w:val="0"/>
          <w:sz w:val="18"/>
        </w:rPr>
        <w:t>6.9. После получения требования Оператор прекращает новые рекламные сообщения по соответствующему каналу не позднее одного рабочего дня. Технически уже переданное оператору связи сообщение может быть доставлено позднее, но новые отправки не формируются.</w:t>
      </w:r>
    </w:p>
    <w:p>
      <w:pPr>
        <w:keepNext w:val="0"/>
        <w:keepLines w:val="0"/>
        <w:widowControl/>
        <w:spacing w:before="0" w:after="68" w:line="269" w:lineRule="auto"/>
      </w:pPr>
      <w:r>
        <w:rPr>
          <w:rFonts w:ascii="Noto Sans" w:hAnsi="Noto Sans" w:eastAsia="Noto Sans" w:cs="Noto Sans"/>
          <w:b w:val="0"/>
          <w:i w:val="0"/>
          <w:sz w:val="18"/>
        </w:rPr>
        <w:t>6.10. Отзыв рекламы не удаляет контакт, когда он необходим для действующего заказа, учета оплаты, безопасности или обязательного хранения. Контакт помещается в перечень исключений, чтобы не допустить повторной рекламной отправки.</w:t>
      </w:r>
    </w:p>
    <w:p>
      <w:pPr>
        <w:pStyle w:val="Heading1"/>
        <w:widowControl/>
      </w:pPr>
      <w:r>
        <w:t>7. Telegram для технических уведомлений</w:t>
      </w:r>
    </w:p>
    <w:p>
      <w:pPr>
        <w:keepNext w:val="0"/>
        <w:keepLines w:val="0"/>
        <w:widowControl/>
        <w:spacing w:before="0" w:after="68" w:line="269" w:lineRule="auto"/>
      </w:pPr>
      <w:r>
        <w:rPr>
          <w:rFonts w:ascii="Noto Sans" w:hAnsi="Noto Sans" w:eastAsia="Noto Sans" w:cs="Noto Sans"/>
          <w:b w:val="0"/>
          <w:i w:val="0"/>
          <w:sz w:val="18"/>
        </w:rPr>
        <w:t>7.1. Привязка Telegram для получения технических уведомлений является добровольной. Пользователь всегда может получать обязательную информацию по телефону, электронной почте, в личном кабинете или у администратора.</w:t>
      </w:r>
    </w:p>
    <w:tbl>
      <w:tblPr>
        <w:tblW w:type="auto" w:w="0"/>
        <w:jc w:val="center"/>
        <w:tblLook w:firstColumn="1" w:firstRow="1" w:lastColumn="0" w:lastRow="0" w:noHBand="0" w:noVBand="1" w:val="04A0"/>
        <w:tblLayout w:type="fixed"/>
      </w:tblPr>
      <w:tblGrid>
        <w:gridCol w:w="9866"/>
      </w:tblGrid>
      <w:tr>
        <w:trPr>
          <w:tblHeader w:val="true"/>
          <w:cantSplit/>
        </w:trPr>
        <w:tc>
          <w:tcPr>
            <w:tcW w:type="dxa" w:w="9866"/>
            <w:shd w:fill="F7F2EC"/>
            <w:tcMar>
              <w:top w:w="120" w:type="dxa"/>
              <w:start w:w="160" w:type="dxa"/>
              <w:bottom w:w="120" w:type="dxa"/>
              <w:end w:w="160" w:type="dxa"/>
            </w:tcMar>
            <w:tcBorders>
              <w:left w:val="single" w:sz="22" w:color="966447"/>
            </w:tcBorders>
          </w:tcPr>
          <w:p>
            <w:pPr>
              <w:keepNext w:val="0"/>
              <w:keepLines w:val="0"/>
              <w:spacing w:before="0" w:after="40" w:line="269" w:lineRule="auto"/>
            </w:pPr>
            <w:r>
              <w:rPr>
                <w:rFonts w:ascii="Noto Sans" w:hAnsi="Noto Sans" w:eastAsia="Noto Sans" w:cs="Noto Sans"/>
                <w:b/>
                <w:i w:val="0"/>
                <w:color w:val="966447"/>
                <w:sz w:val="18"/>
              </w:rPr>
              <w:t>Отметка «Технические уведомления в Telegram»</w:t>
            </w:r>
          </w:p>
          <w:p>
            <w:pPr>
              <w:keepNext w:val="0"/>
              <w:keepLines w:val="0"/>
              <w:spacing w:before="0" w:after="0" w:line="264" w:lineRule="auto"/>
            </w:pPr>
            <w:r>
              <w:rPr>
                <w:rFonts w:ascii="Noto Sans" w:hAnsi="Noto Sans" w:eastAsia="Noto Sans" w:cs="Noto Sans"/>
                <w:b w:val="0"/>
                <w:i w:val="0"/>
                <w:sz w:val="17"/>
              </w:rPr>
              <w:t>Я добровольно подключаю Telegram для получения технических сообщений о моем аккаунте, подтвержденных бронированиях, платежах, возвратах и пакетном балансе. Для привязки и доставки ООО «Студия Аллы Ромазановой» может обрабатывать мой номер телефона и (или) Telegram-идентификатор, имя или никнейм, номер заказа, дату и статус бронирования, платежный статус без реквизитов карты и сведения о пакетном балансе, а также передавать эти данные оператору платформы Telegram. Я уведомлен(а) о трансграничной передаче и могу в любой момент отключить канал без потери доступа к услугам.</w:t>
            </w:r>
          </w:p>
        </w:tc>
      </w:tr>
    </w:tbl>
    <w:p>
      <w:pPr>
        <w:widowControl/>
        <w:spacing w:after="0"/>
      </w:pPr>
    </w:p>
    <w:p>
      <w:pPr>
        <w:keepNext w:val="0"/>
        <w:keepLines w:val="0"/>
        <w:widowControl/>
        <w:spacing w:before="0" w:after="68" w:line="269" w:lineRule="auto"/>
      </w:pPr>
      <w:r>
        <w:rPr>
          <w:rFonts w:ascii="Noto Sans" w:hAnsi="Noto Sans" w:eastAsia="Noto Sans" w:cs="Noto Sans"/>
          <w:b w:val="0"/>
          <w:i w:val="0"/>
          <w:sz w:val="18"/>
        </w:rPr>
        <w:t>7.2. Через Telegram не передаются полные реквизиты карты, документы, медицинские сведения клиента мастера, пароли и иные чувствительные данные.</w:t>
      </w:r>
    </w:p>
    <w:p>
      <w:pPr>
        <w:keepNext w:val="0"/>
        <w:keepLines w:val="0"/>
        <w:widowControl/>
        <w:spacing w:before="0" w:after="68" w:line="269" w:lineRule="auto"/>
      </w:pPr>
      <w:r>
        <w:rPr>
          <w:rFonts w:ascii="Noto Sans" w:hAnsi="Noto Sans" w:eastAsia="Noto Sans" w:cs="Noto Sans"/>
          <w:b w:val="0"/>
          <w:i w:val="0"/>
          <w:sz w:val="18"/>
        </w:rPr>
        <w:t>7.3. Отключение Telegram прекращает новые отправки через этот канал после технической обработки запроса; информация продолжает быть доступной в аккаунте и по основным контактам.</w:t>
      </w:r>
    </w:p>
    <w:p>
      <w:pPr>
        <w:keepNext w:val="0"/>
        <w:keepLines w:val="0"/>
        <w:widowControl/>
        <w:spacing w:before="0" w:after="68" w:line="269" w:lineRule="auto"/>
      </w:pPr>
      <w:r>
        <w:rPr>
          <w:rFonts w:ascii="Noto Sans" w:hAnsi="Noto Sans" w:eastAsia="Noto Sans" w:cs="Noto Sans"/>
          <w:b w:val="0"/>
          <w:i w:val="0"/>
          <w:sz w:val="18"/>
        </w:rPr>
        <w:t>7.4. Отдельное согласие на технический Telegram-канал не является согласием на рекламные сообщения в Telegram.</w:t>
      </w:r>
    </w:p>
    <w:p>
      <w:pPr>
        <w:pStyle w:val="Heading1"/>
        <w:widowControl/>
      </w:pPr>
      <w:r>
        <w:t>8. Входящие обращения, IP-телефония и чаты</w:t>
      </w:r>
    </w:p>
    <w:p>
      <w:pPr>
        <w:keepNext w:val="0"/>
        <w:keepLines w:val="0"/>
        <w:widowControl/>
        <w:spacing w:before="0" w:after="68" w:line="269" w:lineRule="auto"/>
      </w:pPr>
      <w:r>
        <w:t>8.1. Когда пользователь сам обращается в чат сайта, Telegram, Instagram Direct, по электронной почте или телефону, Оператор обрабатывает минимальные данные для ответа, подготовки бронирования, исполнения договора или урегулирования вопроса. Аудиозапись телефонного разговора имеет отдельное основание и начинается только после уведомления и однозначного согласия.</w:t>
      </w:r>
    </w:p>
    <w:p>
      <w:pPr>
        <w:keepNext w:val="0"/>
        <w:keepLines w:val="0"/>
        <w:widowControl/>
        <w:spacing w:before="0" w:after="68" w:line="269" w:lineRule="auto"/>
      </w:pPr>
      <w:r>
        <w:rPr>
          <w:rFonts w:ascii="Noto Sans" w:hAnsi="Noto Sans" w:eastAsia="Noto Sans" w:cs="Noto Sans"/>
          <w:b w:val="0"/>
          <w:i w:val="0"/>
          <w:sz w:val="18"/>
        </w:rPr>
        <w:t>8.2. Ответ в пределах начатого пользователем диалога, включая уточнение даты, тарифа, места или статуса заказа, является обслуживанием запроса. После завершения вопроса Оператор не продолжает рекламную переписку без отдельного согласия на соответствующий канал.</w:t>
      </w:r>
    </w:p>
    <w:p>
      <w:pPr>
        <w:keepNext w:val="0"/>
        <w:keepLines w:val="0"/>
        <w:widowControl/>
        <w:spacing w:before="0" w:after="68" w:line="269" w:lineRule="auto"/>
      </w:pPr>
      <w:r>
        <w:rPr>
          <w:rFonts w:ascii="Noto Sans" w:hAnsi="Noto Sans" w:eastAsia="Noto Sans" w:cs="Noto Sans"/>
          <w:b w:val="0"/>
          <w:i w:val="0"/>
          <w:sz w:val="18"/>
        </w:rPr>
        <w:t>8.3. Сообщение «у нас появилось свободное окно», промокод, предложение пакета, акция или приглашение на мероприятие после завершения запроса является рекламой независимо от того, что ранее пользователь писал в этот чат.</w:t>
      </w:r>
    </w:p>
    <w:p>
      <w:pPr>
        <w:keepNext w:val="0"/>
        <w:keepLines w:val="0"/>
        <w:widowControl/>
        <w:spacing w:before="0" w:after="68" w:line="269" w:lineRule="auto"/>
      </w:pPr>
      <w:r>
        <w:rPr>
          <w:rFonts w:ascii="Noto Sans" w:hAnsi="Noto Sans" w:eastAsia="Noto Sans" w:cs="Noto Sans"/>
          <w:b w:val="0"/>
          <w:i w:val="0"/>
          <w:sz w:val="18"/>
        </w:rPr>
        <w:t>8.4. Пользователь не должен направлять в чат фотографии паспортов, банковских карт, медицинские анкеты клиентов, сведения о диагнозах и иные данные, не требуемые для бронирования. Случайно полученные избыточные данные удаляются либо ограничиваются, если отсутствует законная необходимость их сохранения.</w:t>
      </w:r>
    </w:p>
    <w:p>
      <w:pPr>
        <w:keepNext w:val="0"/>
        <w:keepLines w:val="0"/>
        <w:widowControl/>
        <w:spacing w:before="0" w:after="68" w:line="269" w:lineRule="auto"/>
      </w:pPr>
      <w:r>
        <w:rPr>
          <w:rFonts w:ascii="Noto Sans" w:hAnsi="Noto Sans" w:eastAsia="Noto Sans" w:cs="Noto Sans"/>
          <w:b w:val="0"/>
          <w:i w:val="0"/>
          <w:sz w:val="18"/>
        </w:rPr>
        <w:t>8.5. Переписка с платформами Telegram и Instagram может обрабатываться их операторами по собственным правилам и за пределами Республики Беларусь. Для бронирования доступны альтернативные каналы: сайт, телефон и mail@cowork.art.</w:t>
      </w:r>
    </w:p>
    <w:p>
      <w:pPr/>
      <w:r>
        <w:t>8.6. Настоящий раздел относится к общению с сотрудником и к иностранным платформам. Сообщения автоматизированному ИИ-помощнику регулируются разделом 10: они не считаются перепиской с сотрудником и обрабатываются белорусским уполномоченным лицом на территории Республики Беларусь.</w:t>
      </w:r>
    </w:p>
    <w:p>
      <w:pPr/>
      <w:r>
        <w:t>8.7. Уведомление для входящего звонка. До включения обычной записи воспроизводится текст: «Здравствуйте! Вы позвонили в cowork.art, ООО „Студия Аллы Ромазановой“. С вашего согласия разговор будет записываться через SipSim.by, ООО „ПитерзГарден“, для обработки обращения, подтверждения договоренностей, контроля качества и разрешения споров. Для продолжения разговора при записи нажмите 1. Нажимая 1, вы даете согласие на аудиозапись. Если вы не согласны, завершите звонок и воспользуйтесь cowork.art или mail@cowork.art. Подробнее — в Политике обработки персональных данных на cowork.art». Обычная запись начинается после нажатия 1; предварительный технический фрагмент не используется.</w:t>
      </w:r>
    </w:p>
    <w:p>
      <w:pPr/>
      <w:r>
        <w:t>8.8. Уведомление для исходящего звонка. До включения записи и до обсуждения заказа сотрудник сообщает: «Добрый день! Это cowork.art, ООО „Студия Аллы Ромазановой“. С вашего согласия разговор будет записываться через SipSim.by, ООО „ПитерзГарден“, для обработки вашего обращения или заказа, подтверждения договоренностей, контроля качества и разрешения споров. Вам удобно продолжить разговор при записи? При несогласии мы завершим вызов и продолжим через cowork.art или mail@cowork.art». Запись и содержательный разговор начинаются только после однозначного «да» либо иного равнозначного подтверждения.</w:t>
      </w:r>
    </w:p>
    <w:p>
      <w:pPr/>
      <w:r>
        <w:t>8.9. Если собеседник отказался от записи, сотрудник не убеждает его изменить решение, не обсуждает заказ по записываемой линии и направляет к незаписываемому каналу. Отказ не ухудшает цену, доступность мест или порядок рассмотрения обращения.</w:t>
      </w:r>
    </w:p>
    <w:p>
      <w:pPr/>
      <w:r>
        <w:t>8.10. По записываемой линии не передаются данные клиентов мастера о здоровье, полные реквизиты банковской карты, CVV/CVC, банковские пароли, SMS-коды и документы. Сотрудник останавливает диктовку. Обычная аудиозапись хранится до 30 календарных дней; метаданные — до 12 месяцев; фрагмент заказа, претензии или инцидента — по сроку соответствующей записи.</w:t>
      </w:r>
    </w:p>
    <w:p>
      <w:pPr/>
      <w:r>
        <w:t>8.11. Аудиозапись используется только для заявленных целей, не является голосовой биометрией, не дает права на рекламный звонок и не заменяет отдельного согласия на телефонную рекламу. Отозвать согласие на дальнейшую обработку записи можно по mail@cowork.art или иным способом, указанным в Политике; законно сохраненный фрагмент может продолжать обрабатываться при наличии самостоятельного договорного или законодательного основания.</w:t>
      </w:r>
    </w:p>
    <w:p>
      <w:pPr>
        <w:pStyle w:val="Heading1"/>
        <w:widowControl/>
      </w:pPr>
      <w:r>
        <w:t>9. Файлы cookie и локальное хранилище</w:t>
      </w:r>
    </w:p>
    <w:p>
      <w:pPr>
        <w:keepNext w:val="0"/>
        <w:keepLines w:val="0"/>
        <w:widowControl/>
        <w:spacing w:before="0" w:after="68" w:line="269" w:lineRule="auto"/>
      </w:pPr>
      <w:r>
        <w:rPr>
          <w:rFonts w:ascii="Noto Sans" w:hAnsi="Noto Sans" w:eastAsia="Noto Sans" w:cs="Noto Sans"/>
          <w:b w:val="0"/>
          <w:i w:val="0"/>
          <w:sz w:val="18"/>
        </w:rPr>
        <w:t>9.1. Необходимые cookie и записи локального хранилища используются для безопасности, сохранения сессии, корзины, выбранных дат, языка, защиты форм и корректной работы сайта. Они применяются без отдельного согласия в минимальном объеме и не используются для рекламы.</w:t>
      </w:r>
    </w:p>
    <w:p>
      <w:pPr>
        <w:keepNext w:val="0"/>
        <w:keepLines w:val="0"/>
        <w:widowControl/>
        <w:spacing w:before="0" w:after="68" w:line="269" w:lineRule="auto"/>
      </w:pPr>
      <w:r>
        <w:rPr>
          <w:rFonts w:ascii="Noto Sans" w:hAnsi="Noto Sans" w:eastAsia="Noto Sans" w:cs="Noto Sans"/>
          <w:b w:val="0"/>
          <w:i w:val="0"/>
          <w:sz w:val="18"/>
        </w:rPr>
        <w:t>9.2. Аналитические и рекламные cookie отключены до активного выбора пользователя. Закрытие баннера, прокрутка страницы, продолжение использования сайта и молчание не считаются согласием.</w:t>
      </w:r>
    </w:p>
    <w:p>
      <w:pPr>
        <w:pStyle w:val="Heading2"/>
        <w:widowControl/>
      </w:pPr>
      <w:r>
        <w:t>9.3. Аналитические cookie</w:t>
      </w:r>
    </w:p>
    <w:tbl>
      <w:tblPr>
        <w:tblW w:type="auto" w:w="0"/>
        <w:jc w:val="center"/>
        <w:tblLook w:firstColumn="1" w:firstRow="1" w:lastColumn="0" w:lastRow="0" w:noHBand="0" w:noVBand="1" w:val="04A0"/>
        <w:tblLayout w:type="fixed"/>
      </w:tblPr>
      <w:tblGrid>
        <w:gridCol w:w="9866"/>
      </w:tblGrid>
      <w:tr>
        <w:trPr>
          <w:tblHeader w:val="true"/>
          <w:cantSplit/>
        </w:trPr>
        <w:tc>
          <w:tcPr>
            <w:tcW w:type="dxa" w:w="9866"/>
            <w:shd w:fill="F7F2EC"/>
            <w:tcMar>
              <w:top w:w="120" w:type="dxa"/>
              <w:start w:w="160" w:type="dxa"/>
              <w:bottom w:w="120" w:type="dxa"/>
              <w:end w:w="160" w:type="dxa"/>
            </w:tcMar>
            <w:tcBorders>
              <w:left w:val="single" w:sz="22" w:color="966447"/>
            </w:tcBorders>
          </w:tcPr>
          <w:p>
            <w:pPr>
              <w:keepNext w:val="0"/>
              <w:keepLines w:val="0"/>
              <w:spacing w:before="0" w:after="40" w:line="269" w:lineRule="auto"/>
            </w:pPr>
            <w:r>
              <w:rPr>
                <w:rFonts w:ascii="Noto Sans" w:hAnsi="Noto Sans" w:eastAsia="Noto Sans" w:cs="Noto Sans"/>
                <w:b/>
                <w:i w:val="0"/>
                <w:color w:val="966447"/>
                <w:sz w:val="18"/>
              </w:rPr>
              <w:t>Переключатель «Аналитика сайта»</w:t>
            </w:r>
          </w:p>
          <w:p>
            <w:pPr>
              <w:keepNext w:val="0"/>
              <w:keepLines w:val="0"/>
              <w:spacing w:before="0" w:after="0" w:line="264" w:lineRule="auto"/>
            </w:pPr>
            <w:r>
              <w:rPr>
                <w:rFonts w:ascii="Noto Sans" w:hAnsi="Noto Sans" w:eastAsia="Noto Sans" w:cs="Noto Sans"/>
                <w:b w:val="0"/>
                <w:i w:val="0"/>
                <w:sz w:val="17"/>
              </w:rPr>
              <w:t>Разрешить аналитические cookie для оценки посещаемости, ошибок и удобства сайта в обобщенном виде. Срок хранения — не более шести месяцев с момента согласия. Отказ не влияет на бронирование.</w:t>
            </w:r>
          </w:p>
        </w:tc>
      </w:tr>
    </w:tbl>
    <w:p>
      <w:pPr>
        <w:widowControl/>
        <w:spacing w:after="0"/>
      </w:pPr>
    </w:p>
    <w:p>
      <w:pPr>
        <w:pStyle w:val="Heading2"/>
        <w:widowControl/>
      </w:pPr>
      <w:r>
        <w:t>9.4. Рекламные cookie</w:t>
      </w:r>
    </w:p>
    <w:tbl>
      <w:tblPr>
        <w:tblW w:type="auto" w:w="0"/>
        <w:jc w:val="center"/>
        <w:tblLook w:firstColumn="1" w:firstRow="1" w:lastColumn="0" w:lastRow="0" w:noHBand="0" w:noVBand="1" w:val="04A0"/>
        <w:tblLayout w:type="fixed"/>
      </w:tblPr>
      <w:tblGrid>
        <w:gridCol w:w="9866"/>
      </w:tblGrid>
      <w:tr>
        <w:trPr>
          <w:tblHeader w:val="true"/>
          <w:cantSplit/>
        </w:trPr>
        <w:tc>
          <w:tcPr>
            <w:tcW w:type="dxa" w:w="9866"/>
            <w:shd w:fill="F7F2EC"/>
            <w:tcMar>
              <w:top w:w="120" w:type="dxa"/>
              <w:start w:w="160" w:type="dxa"/>
              <w:bottom w:w="120" w:type="dxa"/>
              <w:end w:w="160" w:type="dxa"/>
            </w:tcMar>
            <w:tcBorders>
              <w:left w:val="single" w:sz="22" w:color="966447"/>
            </w:tcBorders>
          </w:tcPr>
          <w:p>
            <w:pPr>
              <w:keepNext w:val="0"/>
              <w:keepLines w:val="0"/>
              <w:spacing w:before="0" w:after="40" w:line="269" w:lineRule="auto"/>
            </w:pPr>
            <w:r>
              <w:rPr>
                <w:rFonts w:ascii="Noto Sans" w:hAnsi="Noto Sans" w:eastAsia="Noto Sans" w:cs="Noto Sans"/>
                <w:b/>
                <w:i w:val="0"/>
                <w:color w:val="966447"/>
                <w:sz w:val="18"/>
              </w:rPr>
              <w:t>Переключатель «Рекламные cookie»</w:t>
            </w:r>
          </w:p>
          <w:p>
            <w:pPr>
              <w:keepNext w:val="0"/>
              <w:keepLines w:val="0"/>
              <w:spacing w:before="0" w:after="0" w:line="264" w:lineRule="auto"/>
            </w:pPr>
            <w:r>
              <w:rPr>
                <w:rFonts w:ascii="Noto Sans" w:hAnsi="Noto Sans" w:eastAsia="Noto Sans" w:cs="Noto Sans"/>
                <w:b w:val="0"/>
                <w:i w:val="0"/>
                <w:sz w:val="17"/>
              </w:rPr>
              <w:t>Разрешить рекламные cookie для измерения рекламных кампаний и показа предложений cowork.art. Срок хранения — не более одного месяца с момента согласия. Отказ не влияет на бронирование.</w:t>
            </w:r>
          </w:p>
        </w:tc>
      </w:tr>
    </w:tbl>
    <w:p>
      <w:pPr>
        <w:widowControl/>
        <w:spacing w:after="0"/>
      </w:pPr>
    </w:p>
    <w:p>
      <w:pPr>
        <w:keepNext w:val="0"/>
        <w:keepLines w:val="0"/>
        <w:widowControl/>
        <w:spacing w:before="0" w:after="68" w:line="269" w:lineRule="auto"/>
      </w:pPr>
      <w:r>
        <w:rPr>
          <w:rFonts w:ascii="Noto Sans" w:hAnsi="Noto Sans" w:eastAsia="Noto Sans" w:cs="Noto Sans"/>
          <w:b w:val="0"/>
          <w:i w:val="0"/>
          <w:sz w:val="18"/>
        </w:rPr>
        <w:t>9.5. Кнопки первого уровня: «Только необходимые», «Настроить» и «Разрешить все». В настройках используются кнопки «Отклонить необязательные» и «Разрешить выбранные». Отказ и согласие должны быть одинаково понятными и доступными.</w:t>
      </w:r>
    </w:p>
    <w:p>
      <w:pPr>
        <w:keepNext w:val="0"/>
        <w:keepLines w:val="0"/>
        <w:widowControl/>
        <w:spacing w:before="0" w:after="68" w:line="269" w:lineRule="auto"/>
      </w:pPr>
      <w:r>
        <w:rPr>
          <w:rFonts w:ascii="Noto Sans" w:hAnsi="Noto Sans" w:eastAsia="Noto Sans" w:cs="Noto Sans"/>
          <w:b w:val="0"/>
          <w:i w:val="0"/>
          <w:sz w:val="18"/>
        </w:rPr>
        <w:t>9.6. До активации конкретного аналитического либо рекламного сервиса интерфейс показывает его наименование, назначение, перечень cookie, сроки, страны обработки и ссылку на правила поставщика. Если такой информации нет, соответствующий переключатель не используется.</w:t>
      </w:r>
    </w:p>
    <w:p>
      <w:pPr>
        <w:keepNext w:val="0"/>
        <w:keepLines w:val="0"/>
        <w:widowControl/>
        <w:spacing w:before="0" w:after="68" w:line="269" w:lineRule="auto"/>
      </w:pPr>
      <w:r>
        <w:rPr>
          <w:rFonts w:ascii="Noto Sans" w:hAnsi="Noto Sans" w:eastAsia="Noto Sans" w:cs="Noto Sans"/>
          <w:b w:val="0"/>
          <w:i w:val="0"/>
          <w:sz w:val="18"/>
        </w:rPr>
        <w:t>9.7. Пользователь может изменить выбор через постоянную ссылку «Настройки cookie» в нижней части сайта. Отзыв блокирует новые необязательные записи и удаляет доступные cookie, кроме записей, которые необходимо сохранить для фиксации отказа и безопасности.</w:t>
      </w:r>
    </w:p>
    <w:tbl>
      <w:tblPr>
        <w:tblW w:type="auto" w:w="0"/>
        <w:jc w:val="center"/>
        <w:tblLook w:firstColumn="1" w:firstRow="1" w:lastColumn="0" w:lastRow="0" w:noHBand="0" w:noVBand="1" w:val="04A0"/>
        <w:tblLayout w:type="fixed"/>
      </w:tblPr>
      <w:tblGrid>
        <w:gridCol w:w="9866"/>
      </w:tblGrid>
      <w:tr>
        <w:trPr>
          <w:tblHeader w:val="true"/>
          <w:cantSplit/>
        </w:trPr>
        <w:tc>
          <w:tcPr>
            <w:tcW w:type="dxa" w:w="9866"/>
            <w:shd w:fill="F7F2EC"/>
            <w:tcMar>
              <w:top w:w="120" w:type="dxa"/>
              <w:start w:w="160" w:type="dxa"/>
              <w:bottom w:w="120" w:type="dxa"/>
              <w:end w:w="160" w:type="dxa"/>
            </w:tcMar>
            <w:tcBorders>
              <w:left w:val="single" w:sz="22" w:color="966447"/>
            </w:tcBorders>
          </w:tcPr>
          <w:p>
            <w:r>
              <w:t>Карточка перед кнопкой «Начать ИИ-чат»</w:t>
              <w:br/>
              <w:t>Вы переходите к автоматизированному ИИ-помощнику, а не к сотруднику. Технический поставщик — белорусское юридическое лицо, указанное в карточке сервиса; обработка и хранение выполняются в Республике Беларусь. Для ответа будут обработаны текст сообщения, идентификатор сессии и минимальный технический контекст; данные аккаунта или заказа — только после аутентификации и когда это необходимо для вашего запроса. Содержание хранится до 90 дней, журналы безопасности — до 12 месяцев. Не отправляйте данные клиентов, медицинские сведения, документы, реквизиты карт, коды и пароли. Ответ носит справочный характер; отмена, оплата и возврат действуют только после системного подтверждения. Кнопки: «Начать ИИ-чат» и «Позвать администратора».</w:t>
            </w:r>
          </w:p>
        </w:tc>
      </w:tr>
    </w:tbl>
    <w:p>
      <w:pPr>
        <w:pStyle w:val="Heading1"/>
      </w:pPr>
      <w:r>
        <w:t>10. Уведомление об автоматизированном ИИ-помощнике</w:t>
      </w:r>
    </w:p>
    <w:p>
      <w:pPr/>
      <w:r>
        <w:t>10.1. На сайте действует автоматизированный ИИ-помощник. Это программа, а не сотрудник ООО «Студия Аллы Ромазановой». Ответ формируется автоматически; обычный диалог не просматривается администратором в режиме реального времени. Пользователь может в любой момент выбрать обращение к сотруднику.</w:t>
      </w:r>
    </w:p>
    <w:p>
      <w:pPr/>
      <w:r>
        <w:t>10.2. ИИ-помощник технически предоставляется белорусским юридическим лицом как уполномоченным лицом Оператора. Его наименование и место нахождения отображаются в карточке сервиса до первого сообщения. Сообщения, данные сессии и журналы обрабатываются и хранятся в Республике Беларусь, без трансграничной передачи в рамках этой функции.</w:t>
      </w:r>
    </w:p>
    <w:p>
      <w:pPr/>
      <w:r>
        <w:t>10.3. Для автоматического ответа на инициативный запрос, подготовки действий до заключения договора и исполнения договора отдельное согласие не требуется. Перед кнопкой «Начать ИИ-чат» пользователь получает настоящее уведомление, сведения о целях, данных, сроках, поставщике и способе перейти к сотруднику. Если появится новая самостоятельная цель, для нее до начала обработки определяется отдельное правовое основание.</w:t>
      </w:r>
    </w:p>
    <w:p>
      <w:pPr/>
      <w:r>
        <w:t>10.4. По умолчанию передаются текст сообщения, идентификатор сессии, дата и время, страница сайта и минимальные технические данные. Имя, контакт, пакетный баланс или сведения конкретного заказа передаются только после аутентификации и только в объеме, необходимом для запрошенного ответа.</w:t>
      </w:r>
    </w:p>
    <w:p>
      <w:pPr/>
      <w:r>
        <w:t>10.5. Содержание автоматизированного диалога хранится не более 90 календарных дней, а технические журналы безопасности — до 12 месяцев. Если сообщение связано с заказом, претензией, инцидентом или спором, необходимый фрагмент хранится в составе соответствующей записи по ее сроку.</w:t>
      </w:r>
    </w:p>
    <w:p>
      <w:pPr/>
      <w:r>
        <w:t>10.6. Поставщик не вправе использовать идентифицируемые сообщения для собственной рекламы, самостоятельного профилирования или обучения общедоступных моделей. Доступ сотрудника допускается только после явной эскалации пользователем, для расследования инцидента, претензии, обязательного контроля либо ограниченного контроля качества с учетом доступа.</w:t>
      </w:r>
    </w:p>
    <w:p>
      <w:pPr/>
      <w:r>
        <w:t>10.7. В ИИ-помощник запрещено отправлять сведения о здоровье и противопоказаниях, медицинские документы, данные клиентов мастера, фотографии документов и банковских карт, полные реквизиты карты, CVV/CVC, SMS-коды, пароли, коммерческие секреты и иную чувствительную или избыточную информацию.</w:t>
      </w:r>
    </w:p>
    <w:p>
      <w:pPr/>
      <w:r>
        <w:t>10.8. ИИ-помощник дает справочную информацию и может подготовить черновик выбора. Он не подтверждает бронирование, оплату, отмену, перенос, возврат, пакетное списание, санитарную допустимость процедуры или парковочное место. Юридически значимый статус возникает только после регистрации и подтверждения системой либо сотрудником.</w:t>
      </w:r>
    </w:p>
    <w:p>
      <w:pPr/>
      <w:r>
        <w:t>10.9. Сообщение ИИ «отменить заказ» или «вернуть деньги» не завершает действие. Пользователь должен получить системное подтверждение с номером заказа и временем операции либо обратиться к администратору.</w:t>
      </w:r>
    </w:p>
    <w:p>
      <w:pPr>
        <w:pStyle w:val="Heading1"/>
        <w:widowControl/>
      </w:pPr>
      <w:r>
        <w:t>11. Отзывы, фото-, аудио- и видеоматериалы</w:t>
      </w:r>
    </w:p>
    <w:p>
      <w:pPr>
        <w:keepNext w:val="0"/>
        <w:keepLines w:val="0"/>
        <w:widowControl/>
        <w:spacing w:before="0" w:after="68" w:line="269" w:lineRule="auto"/>
      </w:pPr>
      <w:r>
        <w:rPr>
          <w:rFonts w:ascii="Noto Sans" w:hAnsi="Noto Sans" w:eastAsia="Noto Sans" w:cs="Noto Sans"/>
          <w:b w:val="0"/>
          <w:i w:val="0"/>
          <w:sz w:val="18"/>
        </w:rPr>
        <w:t>11.1. Съемка посетителя, использование его голоса, публикация отзыва, имени, профессионального никнейма или аккаунта в рекламных материалах cowork.art не входят в обычное бронирование и требуют отдельного согласия.</w:t>
      </w:r>
    </w:p>
    <w:tbl>
      <w:tblPr>
        <w:tblW w:type="auto" w:w="0"/>
        <w:jc w:val="center"/>
        <w:tblLook w:firstColumn="1" w:firstRow="1" w:lastColumn="0" w:lastRow="0" w:noHBand="0" w:noVBand="1" w:val="04A0"/>
        <w:tblLayout w:type="fixed"/>
      </w:tblPr>
      <w:tblGrid>
        <w:gridCol w:w="9866"/>
      </w:tblGrid>
      <w:tr>
        <w:trPr>
          <w:tblHeader w:val="true"/>
          <w:cantSplit/>
        </w:trPr>
        <w:tc>
          <w:tcPr>
            <w:tcW w:type="dxa" w:w="9866"/>
            <w:shd w:fill="F7F2EC"/>
            <w:tcMar>
              <w:top w:w="120" w:type="dxa"/>
              <w:start w:w="160" w:type="dxa"/>
              <w:bottom w:w="120" w:type="dxa"/>
              <w:end w:w="160" w:type="dxa"/>
            </w:tcMar>
            <w:tcBorders>
              <w:left w:val="single" w:sz="22" w:color="966447"/>
            </w:tcBorders>
          </w:tcPr>
          <w:p>
            <w:pPr>
              <w:keepNext w:val="0"/>
              <w:keepLines w:val="0"/>
              <w:spacing w:before="0" w:after="40" w:line="269" w:lineRule="auto"/>
            </w:pPr>
            <w:r>
              <w:rPr>
                <w:rFonts w:ascii="Noto Sans" w:hAnsi="Noto Sans" w:eastAsia="Noto Sans" w:cs="Noto Sans"/>
                <w:b/>
                <w:i w:val="0"/>
                <w:color w:val="966447"/>
                <w:sz w:val="18"/>
              </w:rPr>
              <w:t>Отметка «Публикация моего отзыва и изображения»</w:t>
            </w:r>
          </w:p>
          <w:p>
            <w:pPr>
              <w:keepNext w:val="0"/>
              <w:keepLines w:val="0"/>
              <w:spacing w:before="0" w:after="0" w:line="264" w:lineRule="auto"/>
            </w:pPr>
            <w:r>
              <w:rPr>
                <w:rFonts w:ascii="Noto Sans" w:hAnsi="Noto Sans" w:eastAsia="Noto Sans" w:cs="Noto Sans"/>
                <w:b w:val="0"/>
                <w:i w:val="0"/>
                <w:sz w:val="17"/>
              </w:rPr>
              <w:t>Я добровольно разрешаю ООО «Студия Аллы Ромазановой» использовать предоставленные мной текст отзыва, имя или профессиональный никнейм, изображение, голос и видеозапись для публикации на сайте cowork.art и официальных страницах cowork.art в социальных сетях. Материалы могут редактироваться только технически, без искажения смысла. Согласие действует три года либо до отзыва; отказ не влияет на обслуживание.</w:t>
            </w:r>
          </w:p>
        </w:tc>
      </w:tr>
    </w:tbl>
    <w:p>
      <w:pPr>
        <w:widowControl/>
        <w:spacing w:after="0"/>
      </w:pPr>
    </w:p>
    <w:p>
      <w:pPr>
        <w:keepNext w:val="0"/>
        <w:keepLines w:val="0"/>
        <w:widowControl/>
        <w:spacing w:before="0" w:after="68" w:line="269" w:lineRule="auto"/>
      </w:pPr>
      <w:r>
        <w:rPr>
          <w:rFonts w:ascii="Noto Sans" w:hAnsi="Noto Sans" w:eastAsia="Noto Sans" w:cs="Noto Sans"/>
          <w:b w:val="0"/>
          <w:i w:val="0"/>
          <w:sz w:val="18"/>
        </w:rPr>
        <w:t>11.2. До публикации пользователь видит конкретный перечень выбранных материалов и площадок. Согласие на съемку не равно согласию на публикацию; согласие на одну площадку не расширяется автоматически на другие.</w:t>
      </w:r>
    </w:p>
    <w:p>
      <w:pPr>
        <w:keepNext w:val="0"/>
        <w:keepLines w:val="0"/>
        <w:widowControl/>
        <w:spacing w:before="0" w:after="68" w:line="269" w:lineRule="auto"/>
      </w:pPr>
      <w:r>
        <w:rPr>
          <w:rFonts w:ascii="Noto Sans" w:hAnsi="Noto Sans" w:eastAsia="Noto Sans" w:cs="Noto Sans"/>
          <w:b w:val="0"/>
          <w:i w:val="0"/>
          <w:sz w:val="18"/>
        </w:rPr>
        <w:t>11.3. Пользователь гарантирует, что вправе передать только собственный отзыв и материалы. Изображение клиента мастера публикуется исключительно по самостоятельному документированному основанию, полученному лицом, которое определяет цель публикации.</w:t>
      </w:r>
    </w:p>
    <w:p>
      <w:pPr>
        <w:keepNext w:val="0"/>
        <w:keepLines w:val="0"/>
        <w:widowControl/>
        <w:spacing w:before="0" w:after="68" w:line="269" w:lineRule="auto"/>
      </w:pPr>
      <w:r>
        <w:rPr>
          <w:rFonts w:ascii="Noto Sans" w:hAnsi="Noto Sans" w:eastAsia="Noto Sans" w:cs="Noto Sans"/>
          <w:b w:val="0"/>
          <w:i w:val="0"/>
          <w:sz w:val="18"/>
        </w:rPr>
        <w:t>11.4. После отзыва Оператор прекращает новые публикации и удаляет материал с управляемых им цифровых ресурсов в срок до пятнадцати дней, если сохранение не требуется для спора или обязанности по законодательству. Оператор не может гарантировать удаление копий, ранее самостоятельно сохраненных третьими лицами.</w:t>
      </w:r>
    </w:p>
    <w:p>
      <w:pPr>
        <w:keepNext w:val="0"/>
        <w:keepLines w:val="0"/>
        <w:widowControl/>
        <w:spacing w:before="0" w:after="68" w:line="269" w:lineRule="auto"/>
      </w:pPr>
      <w:r>
        <w:rPr>
          <w:rFonts w:ascii="Noto Sans" w:hAnsi="Noto Sans" w:eastAsia="Noto Sans" w:cs="Noto Sans"/>
          <w:b w:val="0"/>
          <w:i w:val="0"/>
          <w:sz w:val="18"/>
        </w:rPr>
        <w:t>11.5. Внутренняя фиксация повреждения, санитарного инцидента или нарушения для доказательственных и безопасностных целей не является рекламной съемкой и регулируется Политикой в отношении обработки персональных данных.</w:t>
      </w:r>
    </w:p>
    <w:p>
      <w:pPr>
        <w:pStyle w:val="Heading1"/>
        <w:widowControl/>
      </w:pPr>
      <w:r>
        <w:t>12. Отзыв согласия и реализация прав</w:t>
      </w:r>
    </w:p>
    <w:p>
      <w:pPr>
        <w:keepNext w:val="0"/>
        <w:keepLines w:val="0"/>
        <w:widowControl/>
        <w:spacing w:before="0" w:after="68" w:line="269" w:lineRule="auto"/>
      </w:pPr>
      <w:r>
        <w:rPr>
          <w:rFonts w:ascii="Noto Sans" w:hAnsi="Noto Sans" w:eastAsia="Noto Sans" w:cs="Noto Sans"/>
          <w:b w:val="0"/>
          <w:i w:val="0"/>
          <w:sz w:val="18"/>
        </w:rPr>
        <w:t>12.1. Отозвать добровольное согласие можно в настройках аккаунта, по ссылке отказа в сообщении, командой, предусмотренной соответствующим каналом, письмом на mail@cowork.art, по телефону +375 (44) 502-38-77 либо письменным заявлением по юридическому адресу.</w:t>
      </w:r>
    </w:p>
    <w:p>
      <w:pPr>
        <w:keepNext w:val="0"/>
        <w:keepLines w:val="0"/>
        <w:widowControl/>
        <w:spacing w:before="0" w:after="68" w:line="269" w:lineRule="auto"/>
      </w:pPr>
      <w:r>
        <w:rPr>
          <w:rFonts w:ascii="Noto Sans" w:hAnsi="Noto Sans" w:eastAsia="Noto Sans" w:cs="Noto Sans"/>
          <w:b w:val="0"/>
          <w:i w:val="0"/>
          <w:sz w:val="18"/>
        </w:rPr>
        <w:t>12.2. Для идентификации достаточно указать имя или никнейм, использованный контакт и цель отзыва. Оператор вправе запросить разумное подтверждение владения аккаунтом, чтобы не выполнить требование постороннего лица.</w:t>
      </w:r>
    </w:p>
    <w:p>
      <w:pPr>
        <w:keepNext w:val="0"/>
        <w:keepLines w:val="0"/>
        <w:widowControl/>
        <w:spacing w:before="0" w:after="68" w:line="269" w:lineRule="auto"/>
      </w:pPr>
      <w:r>
        <w:rPr>
          <w:rFonts w:ascii="Noto Sans" w:hAnsi="Noto Sans" w:eastAsia="Noto Sans"/>
          <w:b w:val="0"/>
          <w:i w:val="0"/>
        </w:rPr>
        <w:t>12.3. Рекламные сообщения по отозванному каналу прекращаются не позднее одного рабочего дня. Иная обработка на основании отозванного согласия прекращается, данные удаляются или блокируются в срок, установленный законодательством. Работа ИИ-помощника по инициативному запросу основана не на рекламном согласии; пользователь прекращает ее, закрыв диалог или выбрав сотрудника.</w:t>
      </w:r>
    </w:p>
    <w:p>
      <w:pPr>
        <w:keepNext w:val="0"/>
        <w:keepLines w:val="0"/>
        <w:widowControl/>
        <w:spacing w:before="0" w:after="68" w:line="269" w:lineRule="auto"/>
      </w:pPr>
      <w:r>
        <w:rPr>
          <w:rFonts w:ascii="Noto Sans" w:hAnsi="Noto Sans" w:eastAsia="Noto Sans" w:cs="Noto Sans"/>
          <w:b w:val="0"/>
          <w:i w:val="0"/>
          <w:sz w:val="18"/>
        </w:rPr>
        <w:t>12.4. Отзыв не влияет на законность обработки, выполненной до его получения, и не прекращает обработку, которая необходима для действующего договора, учета платежей, обязательного хранения, безопасности или разрешения спора.</w:t>
      </w:r>
    </w:p>
    <w:p>
      <w:pPr>
        <w:keepNext w:val="0"/>
        <w:keepLines w:val="0"/>
        <w:widowControl/>
        <w:spacing w:before="0" w:after="68" w:line="269" w:lineRule="auto"/>
      </w:pPr>
      <w:r>
        <w:rPr>
          <w:rFonts w:ascii="Noto Sans" w:hAnsi="Noto Sans" w:eastAsia="Noto Sans" w:cs="Noto Sans"/>
          <w:b w:val="0"/>
          <w:i w:val="0"/>
          <w:sz w:val="18"/>
        </w:rPr>
        <w:t>12.5. Субъект вправе получить информацию об обработке, требовать изменения неточных данных, получить сведения о предоставлении данных третьим лицам, требовать прекращения неправомерной обработки и удаления, а также обжаловать действия Оператора в Национальный центр защиты персональных данных или суд.</w:t>
      </w:r>
    </w:p>
    <w:p>
      <w:pPr>
        <w:keepNext w:val="0"/>
        <w:keepLines w:val="0"/>
        <w:widowControl/>
        <w:spacing w:before="0" w:after="68" w:line="269" w:lineRule="auto"/>
      </w:pPr>
      <w:r>
        <w:rPr>
          <w:rFonts w:ascii="Noto Sans" w:hAnsi="Noto Sans" w:eastAsia="Noto Sans" w:cs="Noto Sans"/>
          <w:b w:val="0"/>
          <w:i w:val="0"/>
          <w:sz w:val="18"/>
        </w:rPr>
        <w:t>12.6. Требование об информации об обработке рассматривается в течение пяти рабочих дней; отзыв согласия, требования об изменении, прекращении, удалении и сведения о предоставлении третьим лицам — в течение пятнадцати дней, если законодательством не предусмотрен иной срок.</w:t>
      </w:r>
    </w:p>
    <w:p>
      <w:pPr>
        <w:keepNext w:val="0"/>
        <w:keepLines w:val="0"/>
        <w:widowControl/>
        <w:spacing w:before="0" w:after="68" w:line="269" w:lineRule="auto"/>
      </w:pPr>
      <w:r>
        <w:rPr>
          <w:rFonts w:ascii="Noto Sans" w:hAnsi="Noto Sans" w:eastAsia="Noto Sans" w:cs="Noto Sans"/>
          <w:b w:val="0"/>
          <w:i w:val="0"/>
          <w:sz w:val="18"/>
        </w:rPr>
        <w:t>12.7. Отказ в удовлетворении требования оформляется мотивированно с указанием основания и порядка обжалования.</w:t>
      </w:r>
    </w:p>
    <w:p>
      <w:pPr>
        <w:pStyle w:val="Heading1"/>
        <w:widowControl/>
      </w:pPr>
      <w:r>
        <w:t>13. Доказательство выбора и изменение форм</w:t>
      </w:r>
    </w:p>
    <w:p>
      <w:pPr>
        <w:keepNext w:val="0"/>
        <w:keepLines w:val="0"/>
        <w:widowControl/>
        <w:spacing w:before="0" w:after="68" w:line="269" w:lineRule="auto"/>
      </w:pPr>
      <w:r>
        <w:rPr>
          <w:rFonts w:ascii="Noto Sans" w:hAnsi="Noto Sans" w:eastAsia="Noto Sans" w:cs="Noto Sans"/>
          <w:b w:val="0"/>
          <w:i w:val="0"/>
          <w:sz w:val="18"/>
        </w:rPr>
        <w:t>13.1. Оператор сохраняет событие согласия или отказа: дату и время, аккаунт, канал, цель, текст и версию формы, состояние отметки, технический идентификатор сессии и сведения о последующем отзыве.</w:t>
      </w:r>
    </w:p>
    <w:p>
      <w:pPr>
        <w:keepNext w:val="0"/>
        <w:keepLines w:val="0"/>
        <w:widowControl/>
        <w:spacing w:before="0" w:after="68" w:line="269" w:lineRule="auto"/>
      </w:pPr>
      <w:r>
        <w:rPr>
          <w:rFonts w:ascii="Noto Sans" w:hAnsi="Noto Sans" w:eastAsia="Noto Sans"/>
          <w:b w:val="0"/>
          <w:i w:val="0"/>
        </w:rPr>
        <w:t>13.2. Отметки, необходимые для договора, уведомление об ИИ и добровольные согласия визуально и логически разделяются. Отказ от рекламы, cookie, Telegram или публикации не препятствует нажатию кнопки заказа.</w:t>
      </w:r>
    </w:p>
    <w:p>
      <w:pPr>
        <w:keepNext w:val="0"/>
        <w:keepLines w:val="0"/>
        <w:widowControl/>
        <w:spacing w:before="0" w:after="68" w:line="269" w:lineRule="auto"/>
      </w:pPr>
      <w:r>
        <w:rPr>
          <w:rFonts w:ascii="Noto Sans" w:hAnsi="Noto Sans" w:eastAsia="Noto Sans"/>
          <w:b w:val="0"/>
          <w:i w:val="0"/>
        </w:rPr>
        <w:t>13.3. Существенное изменение цели, состава данных, срока, перечня каналов либо внешнего уполномоченного лица не применяется к ранее данному согласию. До новой добровольной обработки запрашивается новое активное согласие. Существенное изменение ИИ-поставщика или режима обработки предварительно отражается в новой карточке; если оно создает самостоятельную цель, определяется отдельное правовое основание.</w:t>
      </w:r>
    </w:p>
    <w:p>
      <w:pPr>
        <w:keepNext w:val="0"/>
        <w:keepLines w:val="0"/>
        <w:widowControl/>
        <w:spacing w:before="0" w:after="68" w:line="269" w:lineRule="auto"/>
      </w:pPr>
      <w:r>
        <w:rPr>
          <w:rFonts w:ascii="Noto Sans" w:hAnsi="Noto Sans" w:eastAsia="Noto Sans" w:cs="Noto Sans"/>
          <w:b w:val="0"/>
          <w:i w:val="0"/>
          <w:sz w:val="18"/>
        </w:rPr>
        <w:t>13.4. Молчание, отсутствие ответа, заранее установленная отметка, согласие в тексте Оферты и продолжение использования сайта не заменяют нового согласия.</w:t>
      </w:r>
    </w:p>
    <w:p>
      <w:pPr>
        <w:keepNext w:val="0"/>
        <w:keepLines w:val="0"/>
        <w:widowControl/>
        <w:spacing w:before="0" w:after="68" w:line="269" w:lineRule="auto"/>
      </w:pPr>
      <w:r>
        <w:rPr>
          <w:rFonts w:ascii="Noto Sans" w:hAnsi="Noto Sans" w:eastAsia="Noto Sans" w:cs="Noto Sans"/>
          <w:b w:val="0"/>
          <w:i w:val="0"/>
          <w:sz w:val="18"/>
        </w:rPr>
        <w:t>13.5. Действующая редакция публикуется с датой. Записи ранее предоставленных согласий оцениваются по тексту, который был показан в момент выбора.</w:t>
      </w:r>
    </w:p>
    <w:p>
      <w:pPr>
        <w:pStyle w:val="Heading1"/>
        <w:widowControl/>
      </w:pPr>
      <w:r>
        <w:t>Реквизиты и контакты</w:t>
      </w:r>
    </w:p>
    <w:tbl>
      <w:tblPr>
        <w:tblW w:type="auto" w:w="0"/>
        <w:jc w:val="center"/>
        <w:tblLayout w:type="fixed"/>
        <w:tblLook w:firstColumn="1" w:firstRow="1" w:lastColumn="0" w:lastRow="0" w:noHBand="0" w:noVBand="1" w:val="04A0"/>
      </w:tblPr>
      <w:tblGrid>
        <w:gridCol w:w="4933"/>
        <w:gridCol w:w="4933"/>
      </w:tblGrid>
      <w:tr>
        <w:trPr>
          <w:tblHeader w:val="true"/>
          <w:cantSplit/>
        </w:trPr>
        <w:tc>
          <w:tcPr>
            <w:tcW w:type="dxa" w:w="2494"/>
            <w:shd w:fill="4A2A1C"/>
            <w:tcMar>
              <w:top w:w="90" w:type="dxa"/>
              <w:start w:w="100" w:type="dxa"/>
              <w:bottom w:w="90" w:type="dxa"/>
              <w:end w:w="100" w:type="dxa"/>
            </w:tcMar>
            <w:tcBorders>
              <w:top w:val="single" w:sz="4" w:color="4A2A1C"/>
              <w:left w:val="single" w:sz="4" w:color="4A2A1C"/>
              <w:bottom w:val="single" w:sz="4" w:color="4A2A1C"/>
              <w:right w:val="single" w:sz="4" w:color="4A2A1C"/>
            </w:tcBorders>
            <w:vAlign w:val="center"/>
          </w:tcPr>
          <w:p>
            <w:pPr>
              <w:keepNext w:val="0"/>
              <w:keepLines w:val="0"/>
              <w:spacing w:before="0" w:after="0" w:line="240" w:lineRule="auto"/>
            </w:pPr>
            <w:r>
              <w:rPr>
                <w:rFonts w:ascii="Noto Sans" w:hAnsi="Noto Sans" w:eastAsia="Noto Sans" w:cs="Noto Sans"/>
                <w:b/>
                <w:i w:val="0"/>
                <w:color w:val="FFFFFF"/>
                <w:sz w:val="17"/>
              </w:rPr>
              <w:t>Поле</w:t>
            </w:r>
          </w:p>
        </w:tc>
        <w:tc>
          <w:tcPr>
            <w:tcW w:type="dxa" w:w="6804"/>
            <w:shd w:fill="4A2A1C"/>
            <w:tcMar>
              <w:top w:w="90" w:type="dxa"/>
              <w:start w:w="100" w:type="dxa"/>
              <w:bottom w:w="90" w:type="dxa"/>
              <w:end w:w="100" w:type="dxa"/>
            </w:tcMar>
            <w:tcBorders>
              <w:top w:val="single" w:sz="4" w:color="4A2A1C"/>
              <w:left w:val="single" w:sz="4" w:color="4A2A1C"/>
              <w:bottom w:val="single" w:sz="4" w:color="4A2A1C"/>
              <w:right w:val="single" w:sz="4" w:color="4A2A1C"/>
            </w:tcBorders>
            <w:vAlign w:val="center"/>
          </w:tcPr>
          <w:p>
            <w:pPr>
              <w:keepNext w:val="0"/>
              <w:keepLines w:val="0"/>
              <w:spacing w:before="0" w:after="0" w:line="240" w:lineRule="auto"/>
            </w:pPr>
            <w:r>
              <w:rPr>
                <w:rFonts w:ascii="Noto Sans" w:hAnsi="Noto Sans" w:eastAsia="Noto Sans" w:cs="Noto Sans"/>
                <w:b/>
                <w:i w:val="0"/>
                <w:color w:val="FFFFFF"/>
                <w:sz w:val="17"/>
              </w:rPr>
              <w:t>Сведения</w:t>
            </w:r>
          </w:p>
        </w:tc>
      </w:tr>
      <w:tr>
        <w:trPr>
          <w:cantSplit/>
        </w:trPr>
        <w:tc>
          <w:tcPr>
            <w:tcW w:type="dxa" w:w="249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Исполнитель / Оператор</w:t>
            </w:r>
          </w:p>
        </w:tc>
        <w:tc>
          <w:tcPr>
            <w:tcW w:type="dxa" w:w="680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ООО «Студия Аллы Ромазановой»</w:t>
            </w:r>
          </w:p>
        </w:tc>
      </w:tr>
      <w:tr>
        <w:trPr>
          <w:cantSplit/>
        </w:trPr>
        <w:tc>
          <w:tcPr>
            <w:tcW w:type="dxa" w:w="249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УНП</w:t>
            </w:r>
          </w:p>
        </w:tc>
        <w:tc>
          <w:tcPr>
            <w:tcW w:type="dxa" w:w="680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192651036</w:t>
            </w:r>
          </w:p>
        </w:tc>
      </w:tr>
      <w:tr>
        <w:trPr>
          <w:cantSplit/>
        </w:trPr>
        <w:tc>
          <w:tcPr>
            <w:tcW w:type="dxa" w:w="249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Юридический адрес</w:t>
            </w:r>
          </w:p>
        </w:tc>
        <w:tc>
          <w:tcPr>
            <w:tcW w:type="dxa" w:w="680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220034, Республика Беларусь, г. Минск, ул. Захарова, д. 29А, помещение 74</w:t>
            </w:r>
          </w:p>
        </w:tc>
      </w:tr>
      <w:tr>
        <w:trPr>
          <w:cantSplit/>
        </w:trPr>
        <w:tc>
          <w:tcPr>
            <w:tcW w:type="dxa" w:w="249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Место оказания услуг</w:t>
            </w:r>
          </w:p>
        </w:tc>
        <w:tc>
          <w:tcPr>
            <w:tcW w:type="dxa" w:w="680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г. Минск, ул. Захарова, д. 29А</w:t>
            </w:r>
          </w:p>
        </w:tc>
      </w:tr>
      <w:tr>
        <w:trPr>
          <w:cantSplit/>
        </w:trPr>
        <w:tc>
          <w:tcPr>
            <w:tcW w:type="dxa" w:w="249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Режим работы</w:t>
            </w:r>
          </w:p>
        </w:tc>
        <w:tc>
          <w:tcPr>
            <w:tcW w:type="dxa" w:w="680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ежедневно с 09:00 до 21:00; доступ по подтвержденным бронированиям</w:t>
            </w:r>
          </w:p>
        </w:tc>
      </w:tr>
      <w:tr>
        <w:trPr>
          <w:cantSplit/>
        </w:trPr>
        <w:tc>
          <w:tcPr>
            <w:tcW w:type="dxa" w:w="249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Телефон</w:t>
            </w:r>
          </w:p>
        </w:tc>
        <w:tc>
          <w:tcPr>
            <w:tcW w:type="dxa" w:w="680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+375 (44) 502-38-77</w:t>
            </w:r>
          </w:p>
        </w:tc>
      </w:tr>
      <w:tr>
        <w:trPr>
          <w:cantSplit/>
        </w:trPr>
        <w:tc>
          <w:tcPr>
            <w:tcW w:type="dxa" w:w="249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Электронная почта</w:t>
            </w:r>
          </w:p>
        </w:tc>
        <w:tc>
          <w:tcPr>
            <w:tcW w:type="dxa" w:w="680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mail@cowork.art</w:t>
            </w:r>
          </w:p>
        </w:tc>
      </w:tr>
      <w:tr>
        <w:trPr>
          <w:cantSplit/>
        </w:trPr>
        <w:tc>
          <w:tcPr>
            <w:tcW w:type="dxa" w:w="249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Бренд / сайт</w:t>
            </w:r>
          </w:p>
        </w:tc>
        <w:tc>
          <w:tcPr>
            <w:tcW w:type="dxa" w:w="680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cowork.art</w:t>
            </w:r>
          </w:p>
        </w:tc>
      </w:tr>
    </w:tbl>
    <w:p>
      <w:pPr>
        <w:widowControl/>
        <w:spacing w:after="0"/>
      </w:pPr>
    </w:p>
    <w:sectPr w:rsidR="00FC693F" w:rsidRPr="0006063C" w:rsidSect="00034616">
      <w:headerReference w:type="default" r:id="rId9"/>
      <w:footerReference w:type="default" r:id="rId10"/>
      <w:pgSz w:w="11906" w:h="16838"/>
      <w:pgMar w:top="907" w:right="1020" w:bottom="850" w:left="1020"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rPr>
          <w:rFonts w:ascii="Noto Sans" w:hAnsi="Noto Sans" w:eastAsia="Noto Sans" w:cs="Noto Sans"/>
          <w:color w:val="6F6A66"/>
          <w:sz w:val="16"/>
        </w:rPr>
        <w:t>1</w:t>
      </w:r>
    </w:fldSimple>
    <w:r>
      <w:t xml:space="preserve">Редакция 4.0 от 15.07.2026  ·  Стр.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7" w:space="4" w:color="D8CBC1"/>
      </w:pBdr>
    </w:pPr>
    <w:r>
      <w:t>cowork.art  ·  Уведомление и отдельные согласия</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8" w:line="269" w:lineRule="auto"/>
    </w:pPr>
    <w:rPr>
      <w:rFonts w:ascii="Noto Sans" w:hAnsi="Noto Sans" w:eastAsia="Noto Sans" w:cs="Noto Sans"/>
      <w:color w:val="24211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252" w:lineRule="auto"/>
      <w:outlineLvl w:val="0"/>
    </w:pPr>
    <w:rPr>
      <w:rFonts w:asciiTheme="majorHAnsi" w:eastAsiaTheme="majorEastAsia" w:hAnsiTheme="majorHAnsi" w:cstheme="majorBidi" w:ascii="Noto Serif" w:hAnsi="Noto Serif" w:eastAsia="Noto Serif" w:cs="Noto Serif"/>
      <w:b/>
      <w:bCs/>
      <w:color w:val="4A2A1C"/>
      <w:sz w:val="32"/>
      <w:szCs w:val="28"/>
    </w:rPr>
  </w:style>
  <w:style w:type="paragraph" w:styleId="Heading2">
    <w:name w:val="heading 2"/>
    <w:basedOn w:val="Normal"/>
    <w:next w:val="Normal"/>
    <w:link w:val="Heading2Char"/>
    <w:uiPriority w:val="9"/>
    <w:unhideWhenUsed/>
    <w:qFormat/>
    <w:rsid w:val="00FC693F"/>
    <w:pPr>
      <w:keepNext/>
      <w:keepLines/>
      <w:spacing w:before="160" w:after="80" w:line="252" w:lineRule="auto"/>
      <w:outlineLvl w:val="1"/>
    </w:pPr>
    <w:rPr>
      <w:rFonts w:asciiTheme="majorHAnsi" w:eastAsiaTheme="majorEastAsia" w:hAnsiTheme="majorHAnsi" w:cstheme="majorBidi" w:ascii="Noto Serif" w:hAnsi="Noto Serif" w:eastAsia="Noto Serif" w:cs="Noto Serif"/>
      <w:b/>
      <w:bCs/>
      <w:color w:val="4A2A1C"/>
      <w:sz w:val="25"/>
      <w:szCs w:val="26"/>
    </w:rPr>
  </w:style>
  <w:style w:type="paragraph" w:styleId="Heading3">
    <w:name w:val="heading 3"/>
    <w:basedOn w:val="Normal"/>
    <w:next w:val="Normal"/>
    <w:link w:val="Heading3Char"/>
    <w:uiPriority w:val="9"/>
    <w:unhideWhenUsed/>
    <w:qFormat/>
    <w:rsid w:val="00FC693F"/>
    <w:pPr>
      <w:keepNext/>
      <w:keepLines/>
      <w:spacing w:before="120" w:after="60" w:line="252" w:lineRule="auto"/>
      <w:outlineLvl w:val="2"/>
    </w:pPr>
    <w:rPr>
      <w:rFonts w:asciiTheme="majorHAnsi" w:eastAsiaTheme="majorEastAsia" w:hAnsiTheme="majorHAnsi" w:cstheme="majorBidi" w:ascii="Noto Sans" w:hAnsi="Noto Sans" w:eastAsia="Noto Sans" w:cs="Noto Sans"/>
      <w:b/>
      <w:bCs/>
      <w:color w:val="966447"/>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52" w:lineRule="auto" w:before="0"/>
      <w:contextualSpacing/>
    </w:pPr>
    <w:rPr>
      <w:rFonts w:asciiTheme="majorHAnsi" w:eastAsiaTheme="majorEastAsia" w:hAnsiTheme="majorHAnsi" w:cstheme="majorBidi" w:ascii="Noto Serif" w:hAnsi="Noto Serif" w:eastAsia="Noto Serif" w:cs="Noto Serif"/>
      <w:b/>
      <w:color w:val="24211F"/>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line="276" w:lineRule="auto"/>
    </w:pPr>
    <w:rPr>
      <w:rFonts w:asciiTheme="majorHAnsi" w:eastAsiaTheme="majorEastAsia" w:hAnsiTheme="majorHAnsi" w:cstheme="majorBidi" w:ascii="Noto Sans" w:hAnsi="Noto Sans" w:eastAsia="Noto Sans" w:cs="Noto Sans"/>
      <w:b w:val="0"/>
      <w:i/>
      <w:iCs/>
      <w:color w:val="6F6A66"/>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
    <w:name w:val="Compact"/>
    <w:pPr>
      <w:spacing w:after="30" w:line="254" w:lineRule="auto"/>
    </w:pPr>
    <w:rPr>
      <w:rFonts w:ascii="Noto Sans" w:hAnsi="Noto Sans" w:eastAsia="Noto Sans" w:cs="Noto Sans"/>
      <w:color w:val="24211F"/>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Уведомление и отдельные согласия</dc:title>
  <dc:subject>cowork.art · редакция 3.0</dc:subject>
  <dc:creator>ООО «Студия Аллы Ромазановой»</dc:creator>
  <cp:keywords>cowork.art, Беларусь, правовые документы</cp:keywords>
  <dc:description/>
  <cp:lastModifiedBy>ООО «Студия Аллы Ромазановой»</cp:lastModifiedBy>
  <cp:revision>1</cp:revision>
  <dcterms:created xsi:type="dcterms:W3CDTF">2013-12-23T23:15:00Z</dcterms:created>
  <dcterms:modified xsi:type="dcterms:W3CDTF">2013-12-23T23:15:00Z</dcterms:modified>
  <cp:category/>
</cp:coreProperties>
</file>